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3B8B5" w14:textId="77777777" w:rsidR="00E665AC" w:rsidRDefault="00E665AC" w:rsidP="0020050B">
      <w:pPr>
        <w:spacing w:after="0" w:line="240" w:lineRule="auto"/>
        <w:jc w:val="center"/>
        <w:rPr>
          <w:rFonts w:ascii="Times New Roman" w:eastAsia="Times New Roman" w:hAnsi="Times New Roman" w:cs="Times New Roman"/>
          <w:b/>
          <w:sz w:val="24"/>
          <w:szCs w:val="24"/>
          <w:lang w:val="es-MX" w:eastAsia="es-MX"/>
        </w:rPr>
      </w:pPr>
    </w:p>
    <w:p w14:paraId="2CD82F57" w14:textId="2DB403F2" w:rsidR="0020050B" w:rsidRPr="00560634" w:rsidRDefault="00E665AC" w:rsidP="0020050B">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 xml:space="preserve">GUÍA FORMATIVA </w:t>
      </w:r>
      <w:r w:rsidR="0020050B" w:rsidRPr="00560634">
        <w:rPr>
          <w:rFonts w:ascii="Times New Roman" w:eastAsia="Times New Roman" w:hAnsi="Times New Roman" w:cs="Times New Roman"/>
          <w:b/>
          <w:sz w:val="24"/>
          <w:szCs w:val="24"/>
          <w:lang w:val="es-MX" w:eastAsia="es-MX"/>
        </w:rPr>
        <w:t xml:space="preserve">DE </w:t>
      </w:r>
      <w:r w:rsidR="0020050B">
        <w:rPr>
          <w:rFonts w:ascii="Times New Roman" w:eastAsia="Times New Roman" w:hAnsi="Times New Roman" w:cs="Times New Roman"/>
          <w:b/>
          <w:sz w:val="24"/>
          <w:szCs w:val="24"/>
          <w:lang w:val="es-MX" w:eastAsia="es-MX"/>
        </w:rPr>
        <w:t>HISTORIA, GEOGRAFÍA Y CIENCIAS SOCIALES</w:t>
      </w:r>
    </w:p>
    <w:p w14:paraId="7C9CE91B" w14:textId="77777777" w:rsidR="0020050B" w:rsidRPr="00560634" w:rsidRDefault="0020050B" w:rsidP="0020050B">
      <w:pPr>
        <w:spacing w:after="0" w:line="240" w:lineRule="auto"/>
        <w:jc w:val="center"/>
        <w:rPr>
          <w:rFonts w:ascii="Times New Roman" w:eastAsia="Times New Roman" w:hAnsi="Times New Roman" w:cs="Times New Roman"/>
          <w:b/>
          <w:sz w:val="24"/>
          <w:szCs w:val="24"/>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2"/>
        <w:gridCol w:w="3767"/>
      </w:tblGrid>
      <w:tr w:rsidR="00B249B5" w:rsidRPr="00101B83" w14:paraId="12AD57BD" w14:textId="77777777" w:rsidTr="00B249B5">
        <w:trPr>
          <w:trHeight w:val="171"/>
          <w:jc w:val="center"/>
        </w:trPr>
        <w:tc>
          <w:tcPr>
            <w:tcW w:w="3264" w:type="pct"/>
            <w:shd w:val="clear" w:color="auto" w:fill="F2F2F2"/>
            <w:vAlign w:val="center"/>
          </w:tcPr>
          <w:p w14:paraId="2AA79C1C"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Curso</w:t>
            </w:r>
            <w:r>
              <w:rPr>
                <w:rFonts w:ascii="Times New Roman" w:eastAsia="Times New Roman" w:hAnsi="Times New Roman" w:cs="Times New Roman"/>
                <w:b/>
                <w:sz w:val="24"/>
                <w:szCs w:val="24"/>
                <w:lang w:val="es-MX" w:eastAsia="es-MX"/>
              </w:rPr>
              <w:t>s</w:t>
            </w:r>
          </w:p>
        </w:tc>
        <w:tc>
          <w:tcPr>
            <w:tcW w:w="1736" w:type="pct"/>
            <w:shd w:val="clear" w:color="auto" w:fill="F2F2F2"/>
            <w:vAlign w:val="center"/>
          </w:tcPr>
          <w:p w14:paraId="7B1C95D7" w14:textId="77777777" w:rsidR="0020050B" w:rsidRPr="000331D6" w:rsidRDefault="0020050B" w:rsidP="00AE2F5B">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Semana de trabajo</w:t>
            </w:r>
          </w:p>
        </w:tc>
      </w:tr>
      <w:tr w:rsidR="00B249B5" w:rsidRPr="00101B83" w14:paraId="08BCF1AC" w14:textId="77777777" w:rsidTr="00B249B5">
        <w:trPr>
          <w:trHeight w:val="296"/>
          <w:jc w:val="center"/>
        </w:trPr>
        <w:tc>
          <w:tcPr>
            <w:tcW w:w="3264" w:type="pct"/>
            <w:tcBorders>
              <w:bottom w:val="single" w:sz="4" w:space="0" w:color="auto"/>
            </w:tcBorders>
            <w:vAlign w:val="center"/>
          </w:tcPr>
          <w:p w14:paraId="1F0BA03D" w14:textId="77777777" w:rsidR="0020050B" w:rsidRPr="00101B83" w:rsidRDefault="0020050B" w:rsidP="00AE2F5B">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w:t>
            </w:r>
            <w:r w:rsidRPr="00101B83">
              <w:rPr>
                <w:rFonts w:ascii="Times New Roman" w:eastAsia="Times New Roman" w:hAnsi="Times New Roman" w:cs="Times New Roman"/>
                <w:sz w:val="24"/>
                <w:szCs w:val="24"/>
                <w:lang w:val="es-MX" w:eastAsia="es-MX"/>
              </w:rPr>
              <w:t>º Medio D-E-F</w:t>
            </w:r>
          </w:p>
        </w:tc>
        <w:tc>
          <w:tcPr>
            <w:tcW w:w="1736" w:type="pct"/>
            <w:tcBorders>
              <w:bottom w:val="single" w:sz="4" w:space="0" w:color="auto"/>
            </w:tcBorders>
            <w:vAlign w:val="center"/>
          </w:tcPr>
          <w:p w14:paraId="1C0F0EF1" w14:textId="2C8179B3" w:rsidR="0020050B" w:rsidRPr="00101B83" w:rsidRDefault="00E665AC" w:rsidP="0020050B">
            <w:pPr>
              <w:spacing w:after="0"/>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Desde el 02 al 0</w:t>
            </w:r>
            <w:r w:rsidR="001B39A4">
              <w:rPr>
                <w:rFonts w:ascii="Times New Roman" w:eastAsia="Times New Roman" w:hAnsi="Times New Roman" w:cs="Times New Roman"/>
                <w:sz w:val="24"/>
                <w:szCs w:val="24"/>
                <w:lang w:val="es-MX" w:eastAsia="es-MX"/>
              </w:rPr>
              <w:t>6</w:t>
            </w:r>
            <w:r>
              <w:rPr>
                <w:rFonts w:ascii="Times New Roman" w:eastAsia="Times New Roman" w:hAnsi="Times New Roman" w:cs="Times New Roman"/>
                <w:sz w:val="24"/>
                <w:szCs w:val="24"/>
                <w:lang w:val="es-MX" w:eastAsia="es-MX"/>
              </w:rPr>
              <w:t xml:space="preserve"> de Noviem</w:t>
            </w:r>
            <w:r w:rsidR="0020050B">
              <w:rPr>
                <w:rFonts w:ascii="Times New Roman" w:eastAsia="Times New Roman" w:hAnsi="Times New Roman" w:cs="Times New Roman"/>
                <w:sz w:val="24"/>
                <w:szCs w:val="24"/>
                <w:lang w:val="es-MX" w:eastAsia="es-MX"/>
              </w:rPr>
              <w:t>bre</w:t>
            </w:r>
          </w:p>
        </w:tc>
      </w:tr>
      <w:tr w:rsidR="00B249B5" w:rsidRPr="00101B83" w14:paraId="2974B388" w14:textId="77777777" w:rsidTr="00B249B5">
        <w:trPr>
          <w:trHeight w:val="87"/>
          <w:jc w:val="center"/>
        </w:trPr>
        <w:tc>
          <w:tcPr>
            <w:tcW w:w="3264" w:type="pct"/>
            <w:shd w:val="clear" w:color="auto" w:fill="F2F2F2"/>
            <w:vAlign w:val="center"/>
          </w:tcPr>
          <w:p w14:paraId="538FF6DA"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Objetivo Priorizado</w:t>
            </w:r>
          </w:p>
        </w:tc>
        <w:tc>
          <w:tcPr>
            <w:tcW w:w="1736" w:type="pct"/>
            <w:shd w:val="clear" w:color="auto" w:fill="F2F2F2"/>
            <w:vAlign w:val="center"/>
          </w:tcPr>
          <w:p w14:paraId="54FDD8D8"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Habilidades</w:t>
            </w:r>
          </w:p>
        </w:tc>
      </w:tr>
      <w:tr w:rsidR="00B249B5" w:rsidRPr="00101B83" w14:paraId="21EC3510" w14:textId="77777777" w:rsidTr="00B249B5">
        <w:trPr>
          <w:trHeight w:val="795"/>
          <w:jc w:val="center"/>
        </w:trPr>
        <w:tc>
          <w:tcPr>
            <w:tcW w:w="3264" w:type="pct"/>
            <w:vAlign w:val="center"/>
          </w:tcPr>
          <w:p w14:paraId="24621734" w14:textId="77777777" w:rsidR="0020050B" w:rsidRPr="00200167" w:rsidRDefault="0020050B" w:rsidP="0020050B">
            <w:pPr>
              <w:spacing w:after="0" w:line="240" w:lineRule="auto"/>
              <w:jc w:val="both"/>
              <w:rPr>
                <w:rFonts w:ascii="Times New Roman" w:eastAsia="Times New Roman" w:hAnsi="Times New Roman" w:cs="Times New Roman"/>
                <w:color w:val="000000" w:themeColor="text1"/>
                <w:sz w:val="24"/>
                <w:szCs w:val="24"/>
                <w:lang w:val="es-ES_tradnl" w:eastAsia="es-ES_tradnl"/>
              </w:rPr>
            </w:pPr>
            <w:r w:rsidRPr="0020050B">
              <w:rPr>
                <w:rFonts w:ascii="Times New Roman" w:hAnsi="Times New Roman" w:cs="Times New Roman"/>
                <w:b/>
                <w:sz w:val="24"/>
                <w:szCs w:val="24"/>
              </w:rPr>
              <w:t>OA17:</w:t>
            </w:r>
            <w:r w:rsidRPr="0020050B">
              <w:rPr>
                <w:rFonts w:ascii="Times New Roman" w:hAnsi="Times New Roman" w:cs="Times New Roman"/>
                <w:sz w:val="24"/>
                <w:szCs w:val="24"/>
              </w:rPr>
              <w:t xml:space="preserve"> Caracterizar el modelo económico neoliberal implementado en Chile durante el régimen o dictadura militar, considerando aspectos como la transformación del rol del Estado y la disminución del gasto social, la supremacía del libre mercado como asignador de recursos, la apertura comercial y la disponibilidad de bienes, la política de privatizaciones e incentivo a la empresa privada, el cambio en las relaciones y derechos laborales, y evaluar sus consecuencias sociales en el corto y largo plazo.</w:t>
            </w:r>
          </w:p>
        </w:tc>
        <w:tc>
          <w:tcPr>
            <w:tcW w:w="1736" w:type="pct"/>
            <w:vAlign w:val="center"/>
          </w:tcPr>
          <w:p w14:paraId="6220DDDC" w14:textId="77777777" w:rsidR="0020050B" w:rsidRPr="00101B83" w:rsidRDefault="0020050B" w:rsidP="00AE2F5B">
            <w:pPr>
              <w:spacing w:after="0" w:line="240" w:lineRule="auto"/>
              <w:jc w:val="both"/>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Conocer, Aplicar, Analizar, Fundamentar y Evaluar</w:t>
            </w:r>
          </w:p>
        </w:tc>
      </w:tr>
      <w:tr w:rsidR="00B249B5" w:rsidRPr="00101B83" w14:paraId="2D0D1095" w14:textId="77777777" w:rsidTr="00B249B5">
        <w:trPr>
          <w:trHeight w:val="310"/>
          <w:jc w:val="center"/>
        </w:trPr>
        <w:tc>
          <w:tcPr>
            <w:tcW w:w="3264" w:type="pct"/>
            <w:shd w:val="clear" w:color="auto" w:fill="F2F2F2" w:themeFill="background1" w:themeFillShade="F2"/>
            <w:vAlign w:val="center"/>
          </w:tcPr>
          <w:p w14:paraId="7DBC6F1D" w14:textId="77777777" w:rsidR="0020050B" w:rsidRPr="00101B83" w:rsidRDefault="0020050B" w:rsidP="00AE2F5B">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b/>
                <w:sz w:val="24"/>
                <w:szCs w:val="24"/>
                <w:lang w:val="es-MX" w:eastAsia="es-MX"/>
              </w:rPr>
              <w:t>Contenido</w:t>
            </w:r>
          </w:p>
        </w:tc>
        <w:tc>
          <w:tcPr>
            <w:tcW w:w="1736" w:type="pct"/>
            <w:shd w:val="clear" w:color="auto" w:fill="F2F2F2" w:themeFill="background1" w:themeFillShade="F2"/>
            <w:vAlign w:val="center"/>
          </w:tcPr>
          <w:p w14:paraId="40FFB69A"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Correo Electrónico Docente</w:t>
            </w:r>
            <w:r>
              <w:rPr>
                <w:rFonts w:ascii="Times New Roman" w:eastAsia="Times New Roman" w:hAnsi="Times New Roman" w:cs="Times New Roman"/>
                <w:b/>
                <w:sz w:val="24"/>
                <w:szCs w:val="24"/>
                <w:lang w:val="es-MX" w:eastAsia="es-MX"/>
              </w:rPr>
              <w:t xml:space="preserve"> </w:t>
            </w:r>
          </w:p>
        </w:tc>
      </w:tr>
      <w:tr w:rsidR="00B249B5" w:rsidRPr="00101B83" w14:paraId="5E628B80" w14:textId="77777777" w:rsidTr="00B249B5">
        <w:trPr>
          <w:trHeight w:val="225"/>
          <w:jc w:val="center"/>
        </w:trPr>
        <w:tc>
          <w:tcPr>
            <w:tcW w:w="3264" w:type="pct"/>
            <w:vAlign w:val="center"/>
          </w:tcPr>
          <w:p w14:paraId="6941E76A" w14:textId="2129490A" w:rsidR="0020050B" w:rsidRPr="001B39A4" w:rsidRDefault="00E665AC" w:rsidP="00AE2F5B">
            <w:pPr>
              <w:widowControl w:val="0"/>
              <w:autoSpaceDE w:val="0"/>
              <w:autoSpaceDN w:val="0"/>
              <w:adjustRightInd w:val="0"/>
              <w:spacing w:after="0" w:line="240" w:lineRule="auto"/>
              <w:jc w:val="both"/>
              <w:rPr>
                <w:rFonts w:ascii="Times New Roman" w:hAnsi="Times New Roman" w:cs="Times New Roman"/>
                <w:b/>
                <w:color w:val="000000" w:themeColor="text1"/>
                <w:sz w:val="24"/>
                <w:szCs w:val="24"/>
                <w:lang w:val="es-ES_tradnl"/>
              </w:rPr>
            </w:pPr>
            <w:r>
              <w:rPr>
                <w:rFonts w:ascii="Times New Roman" w:hAnsi="Times New Roman" w:cs="Times New Roman"/>
                <w:color w:val="000000" w:themeColor="text1"/>
                <w:sz w:val="24"/>
                <w:szCs w:val="24"/>
                <w:lang w:val="es-ES_tradnl"/>
              </w:rPr>
              <w:t xml:space="preserve">Inserción del modelo económico neoliberal. </w:t>
            </w:r>
          </w:p>
        </w:tc>
        <w:tc>
          <w:tcPr>
            <w:tcW w:w="1736" w:type="pct"/>
            <w:vAlign w:val="center"/>
          </w:tcPr>
          <w:p w14:paraId="2057ABB2" w14:textId="77777777" w:rsidR="0020050B" w:rsidRPr="00101B83" w:rsidRDefault="00EA4630" w:rsidP="00AE2F5B">
            <w:pPr>
              <w:spacing w:after="0" w:line="240" w:lineRule="auto"/>
              <w:jc w:val="both"/>
              <w:rPr>
                <w:rFonts w:ascii="Times New Roman" w:eastAsia="Times New Roman" w:hAnsi="Times New Roman" w:cs="Times New Roman"/>
                <w:sz w:val="24"/>
                <w:szCs w:val="24"/>
                <w:lang w:val="es-MX" w:eastAsia="es-MX"/>
              </w:rPr>
            </w:pPr>
            <w:hyperlink r:id="rId7" w:history="1">
              <w:r w:rsidR="0020050B" w:rsidRPr="00101B83">
                <w:rPr>
                  <w:rStyle w:val="Hipervnculo"/>
                  <w:rFonts w:ascii="Times New Roman" w:eastAsia="Times New Roman" w:hAnsi="Times New Roman" w:cs="Times New Roman"/>
                  <w:sz w:val="24"/>
                  <w:szCs w:val="24"/>
                  <w:lang w:val="es-MX" w:eastAsia="es-MX"/>
                </w:rPr>
                <w:t>mparraguez@sanfernandocollege.cl</w:t>
              </w:r>
            </w:hyperlink>
            <w:r w:rsidR="0020050B" w:rsidRPr="00101B83">
              <w:rPr>
                <w:rFonts w:ascii="Times New Roman" w:eastAsia="Times New Roman" w:hAnsi="Times New Roman" w:cs="Times New Roman"/>
                <w:sz w:val="24"/>
                <w:szCs w:val="24"/>
                <w:lang w:val="es-MX" w:eastAsia="es-MX"/>
              </w:rPr>
              <w:t xml:space="preserve"> </w:t>
            </w:r>
          </w:p>
        </w:tc>
      </w:tr>
    </w:tbl>
    <w:p w14:paraId="4C463419" w14:textId="77777777" w:rsidR="0020050B" w:rsidRDefault="0020050B"/>
    <w:p w14:paraId="401C2E53" w14:textId="7660FC73" w:rsidR="00E93FA0" w:rsidRPr="00E93FA0" w:rsidRDefault="00E93FA0" w:rsidP="00B249B5">
      <w:pPr>
        <w:spacing w:after="0" w:line="240" w:lineRule="auto"/>
        <w:jc w:val="center"/>
        <w:rPr>
          <w:rFonts w:ascii="Times New Roman" w:eastAsia="Times New Roman" w:hAnsi="Times New Roman" w:cs="Times New Roman"/>
          <w:b/>
          <w:sz w:val="24"/>
          <w:szCs w:val="24"/>
          <w:lang w:val="es-ES_tradnl" w:eastAsia="es-ES_tradnl"/>
        </w:rPr>
      </w:pPr>
      <w:r w:rsidRPr="00E93FA0">
        <w:rPr>
          <w:rFonts w:ascii="Times New Roman" w:eastAsia="Times New Roman" w:hAnsi="Times New Roman" w:cs="Times New Roman"/>
          <w:b/>
          <w:sz w:val="24"/>
          <w:szCs w:val="24"/>
          <w:lang w:val="es-ES_tradnl" w:eastAsia="es-ES_tradnl"/>
        </w:rPr>
        <w:t>LA IMPLEMENTACIÓN DEL NEOLIBERALISMO</w:t>
      </w:r>
    </w:p>
    <w:p w14:paraId="01C1CD01" w14:textId="77777777" w:rsidR="00E93FA0" w:rsidRDefault="00E93FA0" w:rsidP="00E93FA0">
      <w:pPr>
        <w:spacing w:after="0" w:line="240" w:lineRule="auto"/>
        <w:jc w:val="both"/>
        <w:rPr>
          <w:rFonts w:ascii="Times New Roman" w:eastAsia="Times New Roman" w:hAnsi="Times New Roman" w:cs="Times New Roman"/>
          <w:sz w:val="24"/>
          <w:szCs w:val="24"/>
          <w:lang w:val="es-ES_tradnl" w:eastAsia="es-ES_tradnl"/>
        </w:rPr>
      </w:pPr>
    </w:p>
    <w:p w14:paraId="61D2BB83" w14:textId="7736D347" w:rsidR="0022447B" w:rsidRDefault="00B249B5" w:rsidP="00E93FA0">
      <w:pPr>
        <w:spacing w:after="0" w:line="240" w:lineRule="auto"/>
        <w:jc w:val="both"/>
        <w:rPr>
          <w:rFonts w:ascii="Times New Roman" w:eastAsia="Times New Roman" w:hAnsi="Times New Roman" w:cs="Times New Roman"/>
          <w:sz w:val="24"/>
          <w:szCs w:val="24"/>
          <w:lang w:val="es-ES_tradnl" w:eastAsia="es-ES_tradnl"/>
        </w:rPr>
      </w:pPr>
      <w:r w:rsidRPr="00B249B5">
        <w:rPr>
          <w:rFonts w:ascii="Times New Roman" w:eastAsia="Times New Roman" w:hAnsi="Times New Roman" w:cs="Times New Roman"/>
          <w:sz w:val="24"/>
          <w:szCs w:val="24"/>
          <w:lang w:val="es-ES_tradnl" w:eastAsia="es-ES_tradnl"/>
        </w:rPr>
        <w:drawing>
          <wp:anchor distT="0" distB="0" distL="114300" distR="114300" simplePos="0" relativeHeight="251658240" behindDoc="0" locked="0" layoutInCell="1" allowOverlap="1" wp14:anchorId="65AA6917" wp14:editId="5D8B3958">
            <wp:simplePos x="0" y="0"/>
            <wp:positionH relativeFrom="column">
              <wp:posOffset>4358005</wp:posOffset>
            </wp:positionH>
            <wp:positionV relativeFrom="paragraph">
              <wp:posOffset>7620</wp:posOffset>
            </wp:positionV>
            <wp:extent cx="2016125" cy="2842260"/>
            <wp:effectExtent l="0" t="0" r="0" b="2540"/>
            <wp:wrapTight wrapText="bothSides">
              <wp:wrapPolygon edited="0">
                <wp:start x="0" y="0"/>
                <wp:lineTo x="0" y="21426"/>
                <wp:lineTo x="21226" y="21426"/>
                <wp:lineTo x="2122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16125" cy="2842260"/>
                    </a:xfrm>
                    <a:prstGeom prst="rect">
                      <a:avLst/>
                    </a:prstGeom>
                  </pic:spPr>
                </pic:pic>
              </a:graphicData>
            </a:graphic>
            <wp14:sizeRelH relativeFrom="page">
              <wp14:pctWidth>0</wp14:pctWidth>
            </wp14:sizeRelH>
            <wp14:sizeRelV relativeFrom="page">
              <wp14:pctHeight>0</wp14:pctHeight>
            </wp14:sizeRelV>
          </wp:anchor>
        </w:drawing>
      </w:r>
      <w:r w:rsidR="00E93FA0" w:rsidRPr="00B249B5">
        <w:rPr>
          <w:rFonts w:ascii="Times New Roman" w:eastAsia="Times New Roman" w:hAnsi="Times New Roman" w:cs="Times New Roman"/>
          <w:sz w:val="24"/>
          <w:szCs w:val="24"/>
          <w:lang w:val="es-ES_tradnl" w:eastAsia="es-ES_tradnl"/>
        </w:rPr>
        <w:t>En 1975, se le encargó a un grupo de economistas chilenos</w:t>
      </w:r>
      <w:r w:rsidR="00E93FA0" w:rsidRPr="00B249B5">
        <w:rPr>
          <w:rFonts w:ascii="Times New Roman" w:eastAsia="Times New Roman" w:hAnsi="Times New Roman" w:cs="Times New Roman"/>
          <w:b/>
          <w:sz w:val="24"/>
          <w:szCs w:val="24"/>
          <w:lang w:val="es-ES_tradnl" w:eastAsia="es-ES_tradnl"/>
        </w:rPr>
        <w:t xml:space="preserve"> formados en varios casos en la Universidad de Chicago, entre ellos Sergio de Castro, Jorge Cauas, Pablo Barahona y José Piñera —conocidos como los “Chicago boys”</w:t>
      </w:r>
      <w:r w:rsidR="00E93FA0" w:rsidRPr="00E93FA0">
        <w:rPr>
          <w:rFonts w:ascii="Times New Roman" w:eastAsia="Times New Roman" w:hAnsi="Times New Roman" w:cs="Times New Roman"/>
          <w:sz w:val="24"/>
          <w:szCs w:val="24"/>
          <w:lang w:val="es-ES_tradnl" w:eastAsia="es-ES_tradnl"/>
        </w:rPr>
        <w:t>— la misión de estructurar el sistema económico. Muchas de las medidas que propusieron se basaron en un texto que resultó programático para las autoridades, llamado “El Ladrillo”, el que, basado en las propuestas del neoliberalismo, planteó la desregulación, liberalización, apertura hacia el mercado exterior y un rol subsidiario del Estado en la economía.</w:t>
      </w:r>
    </w:p>
    <w:p w14:paraId="6C6DD07C" w14:textId="076E1DBA" w:rsidR="0022447B" w:rsidRPr="0022447B" w:rsidRDefault="0022447B" w:rsidP="0022447B">
      <w:pPr>
        <w:spacing w:after="0" w:line="240" w:lineRule="auto"/>
        <w:rPr>
          <w:rFonts w:ascii="Times New Roman" w:eastAsia="Times New Roman" w:hAnsi="Times New Roman" w:cs="Times New Roman"/>
          <w:sz w:val="24"/>
          <w:szCs w:val="24"/>
          <w:lang w:val="es-ES_tradnl" w:eastAsia="es-ES_tradnl"/>
        </w:rPr>
      </w:pPr>
    </w:p>
    <w:p w14:paraId="53D204BA" w14:textId="77777777" w:rsidR="00E93FA0" w:rsidRPr="00B249B5" w:rsidRDefault="00E93FA0" w:rsidP="00E93FA0">
      <w:pPr>
        <w:tabs>
          <w:tab w:val="left" w:pos="640"/>
        </w:tabs>
        <w:jc w:val="both"/>
        <w:rPr>
          <w:rFonts w:ascii="Times New Roman" w:hAnsi="Times New Roman" w:cs="Times New Roman"/>
          <w:b/>
          <w:sz w:val="24"/>
          <w:szCs w:val="24"/>
        </w:rPr>
      </w:pPr>
      <w:r w:rsidRPr="00B249B5">
        <w:rPr>
          <w:rFonts w:ascii="Times New Roman" w:hAnsi="Times New Roman" w:cs="Times New Roman"/>
          <w:b/>
          <w:sz w:val="24"/>
          <w:szCs w:val="24"/>
        </w:rPr>
        <w:t>Los pilares del nuevo modelo económico fueron:</w:t>
      </w:r>
    </w:p>
    <w:p w14:paraId="3B0C2458" w14:textId="77777777" w:rsidR="00E93FA0" w:rsidRPr="00B249B5" w:rsidRDefault="00E93FA0" w:rsidP="00B249B5">
      <w:pPr>
        <w:pStyle w:val="Prrafodelista"/>
        <w:numPr>
          <w:ilvl w:val="0"/>
          <w:numId w:val="2"/>
        </w:numPr>
        <w:tabs>
          <w:tab w:val="left" w:pos="640"/>
        </w:tabs>
        <w:jc w:val="both"/>
        <w:rPr>
          <w:rFonts w:ascii="Times New Roman" w:hAnsi="Times New Roman" w:cs="Times New Roman"/>
          <w:sz w:val="24"/>
          <w:szCs w:val="24"/>
        </w:rPr>
      </w:pPr>
      <w:r w:rsidRPr="00B249B5">
        <w:rPr>
          <w:rFonts w:ascii="Times New Roman" w:hAnsi="Times New Roman" w:cs="Times New Roman"/>
          <w:b/>
          <w:sz w:val="24"/>
          <w:szCs w:val="24"/>
          <w:u w:val="single"/>
        </w:rPr>
        <w:t>Descentralización Económica del Estado:</w:t>
      </w:r>
      <w:r w:rsidRPr="00B249B5">
        <w:rPr>
          <w:rFonts w:ascii="Times New Roman" w:hAnsi="Times New Roman" w:cs="Times New Roman"/>
          <w:b/>
          <w:sz w:val="24"/>
          <w:szCs w:val="24"/>
        </w:rPr>
        <w:t xml:space="preserve"> </w:t>
      </w:r>
      <w:r w:rsidRPr="00B249B5">
        <w:rPr>
          <w:rFonts w:ascii="Times New Roman" w:hAnsi="Times New Roman" w:cs="Times New Roman"/>
          <w:sz w:val="24"/>
          <w:szCs w:val="24"/>
        </w:rPr>
        <w:t xml:space="preserve">el nuevo modelo postulaba que el mercado sería la principal instancia de asignación de recursos. Para ello, se planteaba que </w:t>
      </w:r>
      <w:r w:rsidRPr="00B249B5">
        <w:rPr>
          <w:rFonts w:ascii="Times New Roman" w:hAnsi="Times New Roman" w:cs="Times New Roman"/>
          <w:b/>
          <w:sz w:val="24"/>
          <w:szCs w:val="24"/>
        </w:rPr>
        <w:t>el Estado debía inhibirse de intervenir en la economía orientándose solo a la regulación de la política monetaria y fiscal</w:t>
      </w:r>
      <w:r w:rsidRPr="00B249B5">
        <w:rPr>
          <w:rFonts w:ascii="Times New Roman" w:hAnsi="Times New Roman" w:cs="Times New Roman"/>
          <w:sz w:val="24"/>
          <w:szCs w:val="24"/>
        </w:rPr>
        <w:t>. En esta perspectiva se implantó el principio de Estado subsidiario que quiere decir que, solo por excepción, el Estado participa en la economía (invirtiendo, o gestionando recursos), cuando los privados no pueden hacerlo por sí mismos.</w:t>
      </w:r>
    </w:p>
    <w:p w14:paraId="5BDB1677" w14:textId="47904E56" w:rsidR="00E93FA0" w:rsidRPr="00B249B5" w:rsidRDefault="00B249B5" w:rsidP="00B249B5">
      <w:pPr>
        <w:pStyle w:val="Prrafodelista"/>
        <w:numPr>
          <w:ilvl w:val="0"/>
          <w:numId w:val="2"/>
        </w:numPr>
        <w:tabs>
          <w:tab w:val="left" w:pos="640"/>
        </w:tabs>
        <w:jc w:val="both"/>
        <w:rPr>
          <w:rFonts w:ascii="Times New Roman" w:hAnsi="Times New Roman" w:cs="Times New Roman"/>
          <w:b/>
          <w:sz w:val="24"/>
          <w:szCs w:val="24"/>
        </w:rPr>
      </w:pPr>
      <w:r w:rsidRPr="00B249B5">
        <w:rPr>
          <w:rFonts w:ascii="Times New Roman" w:hAnsi="Times New Roman" w:cs="Times New Roman"/>
          <w:b/>
          <w:sz w:val="24"/>
          <w:szCs w:val="24"/>
          <w:u w:val="single"/>
        </w:rPr>
        <w:t>Apertura comercial exterior:</w:t>
      </w:r>
      <w:r w:rsidR="00E93FA0" w:rsidRPr="00B249B5">
        <w:rPr>
          <w:rFonts w:ascii="Times New Roman" w:hAnsi="Times New Roman" w:cs="Times New Roman"/>
          <w:sz w:val="24"/>
          <w:szCs w:val="24"/>
        </w:rPr>
        <w:t xml:space="preserve"> mediante la </w:t>
      </w:r>
      <w:r w:rsidR="00E93FA0" w:rsidRPr="00B249B5">
        <w:rPr>
          <w:rFonts w:ascii="Times New Roman" w:hAnsi="Times New Roman" w:cs="Times New Roman"/>
          <w:b/>
          <w:sz w:val="24"/>
          <w:szCs w:val="24"/>
        </w:rPr>
        <w:t>rebaja generalizada de los aranceles</w:t>
      </w:r>
      <w:r w:rsidR="00E93FA0" w:rsidRPr="00B249B5">
        <w:rPr>
          <w:rFonts w:ascii="Times New Roman" w:hAnsi="Times New Roman" w:cs="Times New Roman"/>
          <w:sz w:val="24"/>
          <w:szCs w:val="24"/>
        </w:rPr>
        <w:t xml:space="preserve"> a un nivel cercano al 30% (como objetivo inicial), la cual era pareja para todos los productos; </w:t>
      </w:r>
      <w:r w:rsidR="00E93FA0" w:rsidRPr="00B249B5">
        <w:rPr>
          <w:rFonts w:ascii="Times New Roman" w:hAnsi="Times New Roman" w:cs="Times New Roman"/>
          <w:b/>
          <w:sz w:val="24"/>
          <w:szCs w:val="24"/>
        </w:rPr>
        <w:t xml:space="preserve">la eliminación de las prohibiciones de importación </w:t>
      </w:r>
      <w:r w:rsidR="00E93FA0" w:rsidRPr="00B249B5">
        <w:rPr>
          <w:rFonts w:ascii="Times New Roman" w:hAnsi="Times New Roman" w:cs="Times New Roman"/>
          <w:sz w:val="24"/>
          <w:szCs w:val="24"/>
        </w:rPr>
        <w:t xml:space="preserve">de aquellos productos que afectaban la competitividad de la industria nacional; aumento </w:t>
      </w:r>
      <w:r w:rsidR="00E93FA0" w:rsidRPr="00B249B5">
        <w:rPr>
          <w:rFonts w:ascii="Times New Roman" w:hAnsi="Times New Roman" w:cs="Times New Roman"/>
          <w:b/>
          <w:sz w:val="24"/>
          <w:szCs w:val="24"/>
        </w:rPr>
        <w:t xml:space="preserve">y valoración del tipo de cambio </w:t>
      </w:r>
      <w:r w:rsidR="00E93FA0" w:rsidRPr="00B249B5">
        <w:rPr>
          <w:rFonts w:ascii="Times New Roman" w:hAnsi="Times New Roman" w:cs="Times New Roman"/>
          <w:sz w:val="24"/>
          <w:szCs w:val="24"/>
        </w:rPr>
        <w:t xml:space="preserve">(aumento del valor de la moneda nacional en relación al dólar) </w:t>
      </w:r>
      <w:r w:rsidR="00E93FA0" w:rsidRPr="00B249B5">
        <w:rPr>
          <w:rFonts w:ascii="Times New Roman" w:hAnsi="Times New Roman" w:cs="Times New Roman"/>
          <w:b/>
          <w:sz w:val="24"/>
          <w:szCs w:val="24"/>
        </w:rPr>
        <w:t>y mantenimiento de este tipo de cambio</w:t>
      </w:r>
      <w:r w:rsidR="00E93FA0" w:rsidRPr="00B249B5">
        <w:rPr>
          <w:rFonts w:ascii="Times New Roman" w:hAnsi="Times New Roman" w:cs="Times New Roman"/>
          <w:sz w:val="24"/>
          <w:szCs w:val="24"/>
        </w:rPr>
        <w:t xml:space="preserve"> en el tiempo, proporcionando créditos para </w:t>
      </w:r>
      <w:r w:rsidR="00E93FA0" w:rsidRPr="00B249B5">
        <w:rPr>
          <w:rFonts w:ascii="Times New Roman" w:hAnsi="Times New Roman" w:cs="Times New Roman"/>
          <w:b/>
          <w:sz w:val="24"/>
          <w:szCs w:val="24"/>
        </w:rPr>
        <w:t>promover las exportaciones, y rediseño de las política de endeudamiento externo y de inversiones extranjeras.</w:t>
      </w:r>
    </w:p>
    <w:p w14:paraId="40A51D6F" w14:textId="77777777" w:rsidR="00B249B5" w:rsidRPr="00B249B5" w:rsidRDefault="00E93FA0" w:rsidP="00B249B5">
      <w:pPr>
        <w:pStyle w:val="Prrafodelista"/>
        <w:numPr>
          <w:ilvl w:val="0"/>
          <w:numId w:val="2"/>
        </w:numPr>
        <w:tabs>
          <w:tab w:val="left" w:pos="640"/>
        </w:tabs>
        <w:jc w:val="both"/>
        <w:rPr>
          <w:rFonts w:ascii="Times New Roman" w:hAnsi="Times New Roman" w:cs="Times New Roman"/>
          <w:b/>
          <w:sz w:val="24"/>
          <w:szCs w:val="24"/>
        </w:rPr>
      </w:pPr>
      <w:r w:rsidRPr="00B249B5">
        <w:rPr>
          <w:rFonts w:ascii="Times New Roman" w:hAnsi="Times New Roman" w:cs="Times New Roman"/>
          <w:b/>
          <w:sz w:val="24"/>
          <w:szCs w:val="24"/>
          <w:u w:val="single"/>
        </w:rPr>
        <w:t>Liberalización de los precios</w:t>
      </w:r>
      <w:r w:rsidR="00B249B5" w:rsidRPr="00B249B5">
        <w:rPr>
          <w:rFonts w:ascii="Times New Roman" w:hAnsi="Times New Roman" w:cs="Times New Roman"/>
          <w:b/>
          <w:sz w:val="24"/>
          <w:szCs w:val="24"/>
          <w:u w:val="single"/>
        </w:rPr>
        <w:t>:</w:t>
      </w:r>
      <w:r w:rsidRPr="00B249B5">
        <w:rPr>
          <w:rFonts w:ascii="Times New Roman" w:hAnsi="Times New Roman" w:cs="Times New Roman"/>
          <w:sz w:val="24"/>
          <w:szCs w:val="24"/>
        </w:rPr>
        <w:t xml:space="preserve"> eliminando los controles de precios que se habían establecido sobre la economía. </w:t>
      </w:r>
      <w:r w:rsidRPr="00B249B5">
        <w:rPr>
          <w:rFonts w:ascii="Times New Roman" w:hAnsi="Times New Roman" w:cs="Times New Roman"/>
          <w:b/>
          <w:sz w:val="24"/>
          <w:szCs w:val="24"/>
        </w:rPr>
        <w:t>Control de la inflación, mediante el control de las remuneraciones públicas</w:t>
      </w:r>
      <w:r w:rsidRPr="00B249B5">
        <w:rPr>
          <w:rFonts w:ascii="Times New Roman" w:hAnsi="Times New Roman" w:cs="Times New Roman"/>
          <w:sz w:val="24"/>
          <w:szCs w:val="24"/>
        </w:rPr>
        <w:t xml:space="preserve">, la reducción del gasto fiscal, y cambios impositivos para aumentar los recursos del Fisco. Se creó un </w:t>
      </w:r>
      <w:r w:rsidRPr="00B249B5">
        <w:rPr>
          <w:rFonts w:ascii="Times New Roman" w:hAnsi="Times New Roman" w:cs="Times New Roman"/>
          <w:b/>
          <w:sz w:val="24"/>
          <w:szCs w:val="24"/>
        </w:rPr>
        <w:t>nuevo impuesto de valor agregado a todos los productos (IVA).</w:t>
      </w:r>
    </w:p>
    <w:p w14:paraId="69EAD1A4" w14:textId="19670790" w:rsidR="0022447B" w:rsidRPr="00B249B5" w:rsidRDefault="00E93FA0" w:rsidP="00B249B5">
      <w:pPr>
        <w:pStyle w:val="Prrafodelista"/>
        <w:tabs>
          <w:tab w:val="left" w:pos="640"/>
        </w:tabs>
        <w:ind w:left="360"/>
        <w:jc w:val="both"/>
        <w:rPr>
          <w:rFonts w:ascii="Times New Roman" w:hAnsi="Times New Roman" w:cs="Times New Roman"/>
          <w:sz w:val="24"/>
          <w:szCs w:val="24"/>
        </w:rPr>
      </w:pPr>
      <w:r w:rsidRPr="00B249B5">
        <w:rPr>
          <w:rFonts w:ascii="Times New Roman" w:hAnsi="Times New Roman" w:cs="Times New Roman"/>
          <w:sz w:val="24"/>
          <w:szCs w:val="24"/>
        </w:rPr>
        <w:t xml:space="preserve">La implantación de este nuevo sistema de mercado debía comprender necesariamente la restricción de la libertad política y social para asegurar el éxito del modelo. Por ello no se permitiría la actividad sindical que pusiese obstáculos al crecimiento. Ello porque la confianza </w:t>
      </w:r>
      <w:r w:rsidRPr="00B249B5">
        <w:rPr>
          <w:rFonts w:ascii="Times New Roman" w:hAnsi="Times New Roman" w:cs="Times New Roman"/>
          <w:b/>
          <w:sz w:val="24"/>
          <w:szCs w:val="24"/>
        </w:rPr>
        <w:t>está puesta en la gestión de la empresa privada y no en la gestión estatal.</w:t>
      </w:r>
    </w:p>
    <w:p w14:paraId="47065B67" w14:textId="77777777" w:rsidR="00E93FA0" w:rsidRDefault="00E93FA0" w:rsidP="00E93FA0">
      <w:pPr>
        <w:tabs>
          <w:tab w:val="left" w:pos="640"/>
        </w:tabs>
        <w:jc w:val="both"/>
        <w:rPr>
          <w:rFonts w:ascii="Times New Roman" w:hAnsi="Times New Roman" w:cs="Times New Roman"/>
          <w:sz w:val="24"/>
          <w:szCs w:val="24"/>
        </w:rPr>
      </w:pPr>
    </w:p>
    <w:p w14:paraId="343B29D4" w14:textId="14F72FAB" w:rsidR="000A302B" w:rsidRPr="00B249B5" w:rsidRDefault="000A302B" w:rsidP="00E93FA0">
      <w:pPr>
        <w:tabs>
          <w:tab w:val="left" w:pos="640"/>
        </w:tabs>
        <w:jc w:val="both"/>
        <w:rPr>
          <w:rFonts w:ascii="Times New Roman" w:hAnsi="Times New Roman" w:cs="Times New Roman"/>
          <w:b/>
          <w:sz w:val="24"/>
          <w:szCs w:val="24"/>
        </w:rPr>
      </w:pPr>
      <w:r w:rsidRPr="000A302B">
        <w:rPr>
          <w:rFonts w:ascii="Times New Roman" w:hAnsi="Times New Roman" w:cs="Times New Roman"/>
          <w:b/>
          <w:sz w:val="24"/>
          <w:szCs w:val="24"/>
          <w:lang w:val="es-ES_tradnl"/>
        </w:rPr>
        <w:drawing>
          <wp:anchor distT="0" distB="0" distL="114300" distR="114300" simplePos="0" relativeHeight="251660288" behindDoc="0" locked="0" layoutInCell="1" allowOverlap="1" wp14:anchorId="393EF506" wp14:editId="69CFC434">
            <wp:simplePos x="0" y="0"/>
            <wp:positionH relativeFrom="column">
              <wp:posOffset>3902710</wp:posOffset>
            </wp:positionH>
            <wp:positionV relativeFrom="paragraph">
              <wp:posOffset>38735</wp:posOffset>
            </wp:positionV>
            <wp:extent cx="2419985" cy="1610360"/>
            <wp:effectExtent l="0" t="0" r="0" b="0"/>
            <wp:wrapTight wrapText="bothSides">
              <wp:wrapPolygon edited="0">
                <wp:start x="0" y="0"/>
                <wp:lineTo x="0" y="21123"/>
                <wp:lineTo x="21311" y="21123"/>
                <wp:lineTo x="21311" y="0"/>
                <wp:lineTo x="0" y="0"/>
              </wp:wrapPolygon>
            </wp:wrapTight>
            <wp:docPr id="4" name="Imagen 4" descr="http://werkenrojo.cl/wp-content/uploads/2018/05/AFP-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rkenrojo.cl/wp-content/uploads/2018/05/AFP-640x4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98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FA0" w:rsidRPr="00B249B5">
        <w:rPr>
          <w:rFonts w:ascii="Times New Roman" w:hAnsi="Times New Roman" w:cs="Times New Roman"/>
          <w:b/>
          <w:sz w:val="24"/>
          <w:szCs w:val="24"/>
        </w:rPr>
        <w:t>En 1980 se transformó el sistema de pensiones,</w:t>
      </w:r>
      <w:r w:rsidR="00E93FA0" w:rsidRPr="00E93FA0">
        <w:rPr>
          <w:rFonts w:ascii="Times New Roman" w:hAnsi="Times New Roman" w:cs="Times New Roman"/>
          <w:sz w:val="24"/>
          <w:szCs w:val="24"/>
        </w:rPr>
        <w:t xml:space="preserve"> argumentando el otorgar mayor eficiencia al sistema, y cuya principal característica fue la capitalización individual de las cotizaciones obligatorias, administración privada de los fondos </w:t>
      </w:r>
      <w:r w:rsidR="00E93FA0" w:rsidRPr="00B249B5">
        <w:rPr>
          <w:rFonts w:ascii="Times New Roman" w:hAnsi="Times New Roman" w:cs="Times New Roman"/>
          <w:b/>
          <w:sz w:val="24"/>
          <w:szCs w:val="24"/>
        </w:rPr>
        <w:t>a través de las Administradoras de Fondos de Pensiones (AFP) y la libertad de afiliación de cada trabajador.</w:t>
      </w:r>
    </w:p>
    <w:p w14:paraId="59ED5EB3" w14:textId="092036FD" w:rsidR="00E93FA0" w:rsidRDefault="00E93FA0" w:rsidP="00E93FA0">
      <w:pPr>
        <w:tabs>
          <w:tab w:val="left" w:pos="640"/>
        </w:tabs>
        <w:jc w:val="both"/>
        <w:rPr>
          <w:rFonts w:ascii="Times New Roman" w:hAnsi="Times New Roman" w:cs="Times New Roman"/>
          <w:sz w:val="24"/>
          <w:szCs w:val="24"/>
        </w:rPr>
      </w:pPr>
      <w:r w:rsidRPr="00E93FA0">
        <w:rPr>
          <w:rFonts w:ascii="Times New Roman" w:hAnsi="Times New Roman" w:cs="Times New Roman"/>
          <w:sz w:val="24"/>
          <w:szCs w:val="24"/>
        </w:rPr>
        <w:t xml:space="preserve">El mercado del trabajo se desregularizó y flexibilizó en consonancia con la adopción de una economía de mercado. </w:t>
      </w:r>
      <w:r w:rsidRPr="00B249B5">
        <w:rPr>
          <w:rFonts w:ascii="Times New Roman" w:hAnsi="Times New Roman" w:cs="Times New Roman"/>
          <w:b/>
          <w:sz w:val="24"/>
          <w:szCs w:val="24"/>
        </w:rPr>
        <w:t>Se reformó la legislación laboral, flexibilizando las leyes laborales</w:t>
      </w:r>
      <w:r w:rsidRPr="00E93FA0">
        <w:rPr>
          <w:rFonts w:ascii="Times New Roman" w:hAnsi="Times New Roman" w:cs="Times New Roman"/>
          <w:sz w:val="24"/>
          <w:szCs w:val="24"/>
        </w:rPr>
        <w:t xml:space="preserve"> en lo referente a los derechos de negociación colectiva y huelga, los procedimientos para indemnización y despido y, especialmente, la normativa de sindicación, </w:t>
      </w:r>
      <w:r w:rsidRPr="00B249B5">
        <w:rPr>
          <w:rFonts w:ascii="Times New Roman" w:hAnsi="Times New Roman" w:cs="Times New Roman"/>
          <w:b/>
          <w:sz w:val="24"/>
          <w:szCs w:val="24"/>
        </w:rPr>
        <w:t>que pasó a establecer la afiliación voluntaria,</w:t>
      </w:r>
      <w:r w:rsidRPr="00E93FA0">
        <w:rPr>
          <w:rFonts w:ascii="Times New Roman" w:hAnsi="Times New Roman" w:cs="Times New Roman"/>
          <w:sz w:val="24"/>
          <w:szCs w:val="24"/>
        </w:rPr>
        <w:t xml:space="preserve"> lo que terminó por disminuir notoriamente toda capacidad de presión de los trabajadores frente al empleador. El Estado se limitó solo a la regulación del salario mínimo.</w:t>
      </w:r>
    </w:p>
    <w:p w14:paraId="33EA4C65" w14:textId="1B6E6E2F" w:rsidR="00E93FA0" w:rsidRDefault="000A302B" w:rsidP="00E93FA0">
      <w:pPr>
        <w:tabs>
          <w:tab w:val="left" w:pos="640"/>
        </w:tabs>
        <w:jc w:val="both"/>
        <w:rPr>
          <w:rFonts w:ascii="Times New Roman" w:hAnsi="Times New Roman" w:cs="Times New Roman"/>
          <w:sz w:val="24"/>
          <w:szCs w:val="24"/>
        </w:rPr>
      </w:pPr>
      <w:r w:rsidRPr="000A302B">
        <w:rPr>
          <w:rFonts w:ascii="Times New Roman" w:eastAsia="Times New Roman" w:hAnsi="Times New Roman" w:cs="Times New Roman"/>
          <w:noProof/>
          <w:sz w:val="24"/>
          <w:szCs w:val="24"/>
          <w:lang w:val="es-ES_tradnl" w:eastAsia="es-ES_tradnl"/>
        </w:rPr>
        <w:drawing>
          <wp:anchor distT="0" distB="0" distL="114300" distR="114300" simplePos="0" relativeHeight="251661312" behindDoc="0" locked="0" layoutInCell="1" allowOverlap="1" wp14:anchorId="7AF77ED6" wp14:editId="7170D2AE">
            <wp:simplePos x="0" y="0"/>
            <wp:positionH relativeFrom="column">
              <wp:posOffset>2190115</wp:posOffset>
            </wp:positionH>
            <wp:positionV relativeFrom="paragraph">
              <wp:posOffset>1905</wp:posOffset>
            </wp:positionV>
            <wp:extent cx="4181475" cy="1830070"/>
            <wp:effectExtent l="0" t="0" r="9525" b="0"/>
            <wp:wrapTight wrapText="bothSides">
              <wp:wrapPolygon edited="0">
                <wp:start x="0" y="0"/>
                <wp:lineTo x="0" y="21285"/>
                <wp:lineTo x="21518" y="21285"/>
                <wp:lineTo x="21518" y="0"/>
                <wp:lineTo x="0" y="0"/>
              </wp:wrapPolygon>
            </wp:wrapTight>
            <wp:docPr id="5" name="Imagen 5" descr="https://www.poderyliderazgo.cl/wp-content/uploads/2017/10/A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oderyliderazgo.cl/wp-content/uploads/2017/10/A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FA0" w:rsidRPr="00B249B5">
        <w:rPr>
          <w:rFonts w:ascii="Times New Roman" w:hAnsi="Times New Roman" w:cs="Times New Roman"/>
          <w:b/>
          <w:sz w:val="24"/>
          <w:szCs w:val="24"/>
        </w:rPr>
        <w:t>Respecto al sistema educativo</w:t>
      </w:r>
      <w:r w:rsidR="00E93FA0" w:rsidRPr="00E93FA0">
        <w:rPr>
          <w:rFonts w:ascii="Times New Roman" w:hAnsi="Times New Roman" w:cs="Times New Roman"/>
          <w:sz w:val="24"/>
          <w:szCs w:val="24"/>
        </w:rPr>
        <w:t xml:space="preserve">, desde principios de la década de 1980, </w:t>
      </w:r>
      <w:r w:rsidR="00E93FA0" w:rsidRPr="00B249B5">
        <w:rPr>
          <w:rFonts w:ascii="Times New Roman" w:hAnsi="Times New Roman" w:cs="Times New Roman"/>
          <w:b/>
          <w:sz w:val="24"/>
          <w:szCs w:val="24"/>
        </w:rPr>
        <w:t>el Estado traspasó la administración de la educación primaria y secundaria a las municipalidades</w:t>
      </w:r>
      <w:r w:rsidR="00E93FA0" w:rsidRPr="00E93FA0">
        <w:rPr>
          <w:rFonts w:ascii="Times New Roman" w:hAnsi="Times New Roman" w:cs="Times New Roman"/>
          <w:sz w:val="24"/>
          <w:szCs w:val="24"/>
        </w:rPr>
        <w:t xml:space="preserve">, señalando que con dicho proceso la administración local buscaría soluciones más directas a los problemas y se mejoraría la eficiencia del gasto en educación. </w:t>
      </w:r>
      <w:r w:rsidR="00E93FA0" w:rsidRPr="00B249B5">
        <w:rPr>
          <w:rFonts w:ascii="Times New Roman" w:hAnsi="Times New Roman" w:cs="Times New Roman"/>
          <w:b/>
          <w:sz w:val="24"/>
          <w:szCs w:val="24"/>
        </w:rPr>
        <w:t xml:space="preserve">La misma suerte corrió la educación superior, que también se descentraliza: la Universidad de Chile y la Universidad Técnica del Estado </w:t>
      </w:r>
      <w:r w:rsidR="00E93FA0" w:rsidRPr="00E93FA0">
        <w:rPr>
          <w:rFonts w:ascii="Times New Roman" w:hAnsi="Times New Roman" w:cs="Times New Roman"/>
          <w:sz w:val="24"/>
          <w:szCs w:val="24"/>
        </w:rPr>
        <w:t xml:space="preserve">–que pasó a denominarse Universidad de Santiago de Chile– fueron despojadas de sus sedes, que pasaron a ser universidades regionales desvinculadas entre sí. El Estado dejó de administrarlas, </w:t>
      </w:r>
      <w:r w:rsidR="00E93FA0" w:rsidRPr="00B249B5">
        <w:rPr>
          <w:rFonts w:ascii="Times New Roman" w:hAnsi="Times New Roman" w:cs="Times New Roman"/>
          <w:b/>
          <w:sz w:val="24"/>
          <w:szCs w:val="24"/>
        </w:rPr>
        <w:t>entregando a partir de 1981 a las llamadas universidades tradicionales (las existentes en 1980), un Aporte Fiscal Directo</w:t>
      </w:r>
      <w:r w:rsidR="00E93FA0" w:rsidRPr="00E93FA0">
        <w:rPr>
          <w:rFonts w:ascii="Times New Roman" w:hAnsi="Times New Roman" w:cs="Times New Roman"/>
          <w:sz w:val="24"/>
          <w:szCs w:val="24"/>
        </w:rPr>
        <w:t>, pese a lo cual, estos planteles, agrupados en el Consejo de Rectores, debieron competir, con las nuevas universidades privadas.</w:t>
      </w:r>
    </w:p>
    <w:p w14:paraId="685C696A" w14:textId="7F8A713B" w:rsidR="00B249B5" w:rsidRPr="00B249B5" w:rsidRDefault="000A302B" w:rsidP="00E93FA0">
      <w:pPr>
        <w:tabs>
          <w:tab w:val="left" w:pos="640"/>
        </w:tabs>
        <w:jc w:val="both"/>
        <w:rPr>
          <w:rFonts w:ascii="Times New Roman" w:hAnsi="Times New Roman" w:cs="Times New Roman"/>
          <w:b/>
          <w:sz w:val="24"/>
          <w:szCs w:val="24"/>
        </w:rPr>
      </w:pPr>
      <w:r w:rsidRPr="000A302B">
        <w:rPr>
          <w:rFonts w:ascii="Times New Roman" w:hAnsi="Times New Roman" w:cs="Times New Roman"/>
          <w:b/>
          <w:sz w:val="24"/>
          <w:szCs w:val="24"/>
        </w:rPr>
        <w:drawing>
          <wp:anchor distT="0" distB="0" distL="114300" distR="114300" simplePos="0" relativeHeight="251662336" behindDoc="0" locked="0" layoutInCell="1" allowOverlap="1" wp14:anchorId="7288528E" wp14:editId="19CB61A8">
            <wp:simplePos x="0" y="0"/>
            <wp:positionH relativeFrom="column">
              <wp:posOffset>-97155</wp:posOffset>
            </wp:positionH>
            <wp:positionV relativeFrom="paragraph">
              <wp:posOffset>798195</wp:posOffset>
            </wp:positionV>
            <wp:extent cx="1848485" cy="2162175"/>
            <wp:effectExtent l="0" t="0" r="5715" b="0"/>
            <wp:wrapTight wrapText="bothSides">
              <wp:wrapPolygon edited="0">
                <wp:start x="0" y="0"/>
                <wp:lineTo x="0" y="21315"/>
                <wp:lineTo x="21370" y="21315"/>
                <wp:lineTo x="2137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8485" cy="2162175"/>
                    </a:xfrm>
                    <a:prstGeom prst="rect">
                      <a:avLst/>
                    </a:prstGeom>
                  </pic:spPr>
                </pic:pic>
              </a:graphicData>
            </a:graphic>
            <wp14:sizeRelH relativeFrom="page">
              <wp14:pctWidth>0</wp14:pctWidth>
            </wp14:sizeRelH>
            <wp14:sizeRelV relativeFrom="page">
              <wp14:pctHeight>0</wp14:pctHeight>
            </wp14:sizeRelV>
          </wp:anchor>
        </w:drawing>
      </w:r>
      <w:r w:rsidR="00B249B5" w:rsidRPr="00B249B5">
        <w:rPr>
          <w:rFonts w:ascii="Times New Roman" w:hAnsi="Times New Roman" w:cs="Times New Roman"/>
          <w:b/>
          <w:sz w:val="24"/>
          <w:szCs w:val="24"/>
        </w:rPr>
        <w:t>En el sistema de salud</w:t>
      </w:r>
      <w:r w:rsidR="00B249B5" w:rsidRPr="00B249B5">
        <w:rPr>
          <w:rFonts w:ascii="Times New Roman" w:hAnsi="Times New Roman" w:cs="Times New Roman"/>
          <w:sz w:val="24"/>
          <w:szCs w:val="24"/>
        </w:rPr>
        <w:t xml:space="preserve"> se redefinieron las funciones del ministerio a cargo, </w:t>
      </w:r>
      <w:r w:rsidR="00B249B5" w:rsidRPr="00B249B5">
        <w:rPr>
          <w:rFonts w:ascii="Times New Roman" w:hAnsi="Times New Roman" w:cs="Times New Roman"/>
          <w:b/>
          <w:sz w:val="24"/>
          <w:szCs w:val="24"/>
        </w:rPr>
        <w:t>se creó el Fondo Nacional de Salud (Fonasa)</w:t>
      </w:r>
      <w:r w:rsidR="00B249B5" w:rsidRPr="00B249B5">
        <w:rPr>
          <w:rFonts w:ascii="Times New Roman" w:hAnsi="Times New Roman" w:cs="Times New Roman"/>
          <w:sz w:val="24"/>
          <w:szCs w:val="24"/>
        </w:rPr>
        <w:t xml:space="preserve"> y se municipalizaron los centros de atención primaria. Adicionalmente, se creó un sistema previsional de salud privado con el establecimiento y reglamentación </w:t>
      </w:r>
      <w:r w:rsidR="00B249B5" w:rsidRPr="00B249B5">
        <w:rPr>
          <w:rFonts w:ascii="Times New Roman" w:hAnsi="Times New Roman" w:cs="Times New Roman"/>
          <w:b/>
          <w:sz w:val="24"/>
          <w:szCs w:val="24"/>
        </w:rPr>
        <w:t>de las Instituciones de Salud Previsional (Isapres).</w:t>
      </w:r>
      <w:bookmarkStart w:id="0" w:name="_GoBack"/>
      <w:bookmarkEnd w:id="0"/>
    </w:p>
    <w:p w14:paraId="1C3A3F50" w14:textId="7E864177" w:rsidR="00B249B5" w:rsidRPr="00B249B5" w:rsidRDefault="00B249B5" w:rsidP="00B249B5">
      <w:pPr>
        <w:tabs>
          <w:tab w:val="left" w:pos="640"/>
        </w:tabs>
        <w:jc w:val="both"/>
        <w:rPr>
          <w:rFonts w:ascii="Times New Roman" w:hAnsi="Times New Roman" w:cs="Times New Roman"/>
          <w:b/>
          <w:sz w:val="24"/>
          <w:szCs w:val="24"/>
        </w:rPr>
      </w:pPr>
      <w:r w:rsidRPr="00B249B5">
        <w:rPr>
          <w:rFonts w:ascii="Times New Roman" w:hAnsi="Times New Roman" w:cs="Times New Roman"/>
          <w:sz w:val="24"/>
          <w:szCs w:val="24"/>
        </w:rPr>
        <w:t xml:space="preserve">A pesar de la grave crisis, el gobierno no abandona el modelo económico. De hecho durante la década del 80 se continúa con la segunda ronda de privatizaciones: </w:t>
      </w:r>
      <w:r w:rsidRPr="00B249B5">
        <w:rPr>
          <w:rFonts w:ascii="Times New Roman" w:hAnsi="Times New Roman" w:cs="Times New Roman"/>
          <w:b/>
          <w:sz w:val="24"/>
          <w:szCs w:val="24"/>
        </w:rPr>
        <w:t>grandes empresas estatales como la CAP, SOQUIMICH, ENDESA, CHILECTRA e IANSA se privatizan.</w:t>
      </w:r>
    </w:p>
    <w:p w14:paraId="71412CBC" w14:textId="6270248E" w:rsidR="00B249B5" w:rsidRDefault="00B249B5" w:rsidP="00B249B5">
      <w:pPr>
        <w:tabs>
          <w:tab w:val="left" w:pos="640"/>
        </w:tabs>
        <w:jc w:val="both"/>
        <w:rPr>
          <w:rFonts w:ascii="Times New Roman" w:hAnsi="Times New Roman" w:cs="Times New Roman"/>
          <w:b/>
          <w:sz w:val="24"/>
          <w:szCs w:val="24"/>
        </w:rPr>
      </w:pPr>
      <w:r w:rsidRPr="00B249B5">
        <w:rPr>
          <w:rFonts w:ascii="Times New Roman" w:hAnsi="Times New Roman" w:cs="Times New Roman"/>
          <w:b/>
          <w:sz w:val="24"/>
          <w:szCs w:val="24"/>
        </w:rPr>
        <w:t>La recesión de 1982 va a ser finalmente superada en lo económico hacia 1985</w:t>
      </w:r>
      <w:r w:rsidRPr="00B249B5">
        <w:rPr>
          <w:rFonts w:ascii="Times New Roman" w:hAnsi="Times New Roman" w:cs="Times New Roman"/>
          <w:sz w:val="24"/>
          <w:szCs w:val="24"/>
        </w:rPr>
        <w:t xml:space="preserve">, la expansión económica se prolongó hasta la década del 90, dando lugar al denominado “Milagro Chileno”. En ello destaca el protagonismo de un nuevo equipo económico liderado por Hernán Büchi, menos ortodoxo y más pragmático, de hecho un economista con estudios en Columbia y no en Chicago. </w:t>
      </w:r>
      <w:r w:rsidRPr="00B249B5">
        <w:rPr>
          <w:rFonts w:ascii="Times New Roman" w:hAnsi="Times New Roman" w:cs="Times New Roman"/>
          <w:b/>
          <w:sz w:val="24"/>
          <w:szCs w:val="24"/>
        </w:rPr>
        <w:t>Las redes comerciales de Chile se siguen extendiendo y su base económica se profundiza.</w:t>
      </w:r>
    </w:p>
    <w:p w14:paraId="4B52F035" w14:textId="77777777" w:rsidR="000A302B" w:rsidRPr="00B249B5" w:rsidRDefault="000A302B" w:rsidP="00B249B5">
      <w:pPr>
        <w:tabs>
          <w:tab w:val="left" w:pos="640"/>
        </w:tabs>
        <w:jc w:val="both"/>
        <w:rPr>
          <w:rFonts w:ascii="Times New Roman" w:hAnsi="Times New Roman" w:cs="Times New Roman"/>
          <w:b/>
          <w:sz w:val="24"/>
          <w:szCs w:val="24"/>
        </w:rPr>
      </w:pPr>
    </w:p>
    <w:sectPr w:rsidR="000A302B" w:rsidRPr="00B249B5" w:rsidSect="0020050B">
      <w:headerReference w:type="default" r:id="rId12"/>
      <w:footerReference w:type="even" r:id="rId13"/>
      <w:footerReference w:type="default" r:id="rId14"/>
      <w:pgSz w:w="12240" w:h="18720"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D35BD" w14:textId="77777777" w:rsidR="00EA4630" w:rsidRDefault="00EA4630" w:rsidP="0020050B">
      <w:pPr>
        <w:spacing w:after="0" w:line="240" w:lineRule="auto"/>
      </w:pPr>
      <w:r>
        <w:separator/>
      </w:r>
    </w:p>
  </w:endnote>
  <w:endnote w:type="continuationSeparator" w:id="0">
    <w:p w14:paraId="63315A01" w14:textId="77777777" w:rsidR="00EA4630" w:rsidRDefault="00EA4630" w:rsidP="00200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altName w:val="Calibri"/>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856D7" w14:textId="77777777" w:rsidR="003E0E92" w:rsidRDefault="003E0E92"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6E7F58" w14:textId="77777777" w:rsidR="003E0E92" w:rsidRDefault="003E0E92" w:rsidP="003E0E9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37557" w14:textId="77777777" w:rsidR="003E0E92" w:rsidRDefault="003E0E92"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A4630">
      <w:rPr>
        <w:rStyle w:val="Nmerodepgina"/>
        <w:noProof/>
      </w:rPr>
      <w:t>1</w:t>
    </w:r>
    <w:r>
      <w:rPr>
        <w:rStyle w:val="Nmerodepgina"/>
      </w:rPr>
      <w:fldChar w:fldCharType="end"/>
    </w:r>
  </w:p>
  <w:p w14:paraId="53A39B23" w14:textId="77777777" w:rsidR="003E0E92" w:rsidRDefault="003E0E92" w:rsidP="003E0E9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42577" w14:textId="77777777" w:rsidR="00EA4630" w:rsidRDefault="00EA4630" w:rsidP="0020050B">
      <w:pPr>
        <w:spacing w:after="0" w:line="240" w:lineRule="auto"/>
      </w:pPr>
      <w:r>
        <w:separator/>
      </w:r>
    </w:p>
  </w:footnote>
  <w:footnote w:type="continuationSeparator" w:id="0">
    <w:p w14:paraId="33445F5B" w14:textId="77777777" w:rsidR="00EA4630" w:rsidRDefault="00EA4630" w:rsidP="002005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C0D6" w14:textId="77777777" w:rsidR="0020050B" w:rsidRPr="00560634" w:rsidRDefault="0020050B" w:rsidP="0020050B">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22CEB2C8" wp14:editId="6EAD5B60">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0B975EF9" wp14:editId="49233BEA">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43C5DB03" w14:textId="77777777" w:rsidR="0020050B" w:rsidRPr="00560634" w:rsidRDefault="0020050B" w:rsidP="0020050B">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186FD2F1" w14:textId="77777777" w:rsidR="0020050B" w:rsidRDefault="0020050B" w:rsidP="0020050B">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14FC1AA8" w14:textId="77777777" w:rsidR="0020050B" w:rsidRDefault="0020050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32268"/>
    <w:multiLevelType w:val="hybridMultilevel"/>
    <w:tmpl w:val="57DE467C"/>
    <w:lvl w:ilvl="0" w:tplc="0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7D99219B"/>
    <w:multiLevelType w:val="hybridMultilevel"/>
    <w:tmpl w:val="EC306B0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0B"/>
    <w:rsid w:val="0003580F"/>
    <w:rsid w:val="000A302B"/>
    <w:rsid w:val="001341ED"/>
    <w:rsid w:val="001B39A4"/>
    <w:rsid w:val="0020050B"/>
    <w:rsid w:val="0022447B"/>
    <w:rsid w:val="00255CD0"/>
    <w:rsid w:val="003E0E92"/>
    <w:rsid w:val="0048185B"/>
    <w:rsid w:val="00592F02"/>
    <w:rsid w:val="00624599"/>
    <w:rsid w:val="009665A9"/>
    <w:rsid w:val="00970656"/>
    <w:rsid w:val="00B249B5"/>
    <w:rsid w:val="00C404CD"/>
    <w:rsid w:val="00E05AAE"/>
    <w:rsid w:val="00E665AC"/>
    <w:rsid w:val="00E93FA0"/>
    <w:rsid w:val="00EA4630"/>
    <w:rsid w:val="00F504E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E68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0B"/>
    <w:pPr>
      <w:spacing w:after="160" w:line="259" w:lineRule="auto"/>
    </w:pPr>
    <w:rPr>
      <w:sz w:val="22"/>
      <w:szCs w:val="22"/>
      <w:lang w:val="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050B"/>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20050B"/>
  </w:style>
  <w:style w:type="paragraph" w:styleId="Piedepgina">
    <w:name w:val="footer"/>
    <w:basedOn w:val="Normal"/>
    <w:link w:val="PiedepginaCar"/>
    <w:uiPriority w:val="99"/>
    <w:unhideWhenUsed/>
    <w:rsid w:val="0020050B"/>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20050B"/>
  </w:style>
  <w:style w:type="character" w:styleId="Hipervnculo">
    <w:name w:val="Hyperlink"/>
    <w:basedOn w:val="Fuentedeprrafopredeter"/>
    <w:uiPriority w:val="99"/>
    <w:unhideWhenUsed/>
    <w:rsid w:val="0020050B"/>
    <w:rPr>
      <w:color w:val="0563C1" w:themeColor="hyperlink"/>
      <w:u w:val="single"/>
    </w:rPr>
  </w:style>
  <w:style w:type="paragraph" w:customStyle="1" w:styleId="Default">
    <w:name w:val="Default"/>
    <w:rsid w:val="0020050B"/>
    <w:pPr>
      <w:widowControl w:val="0"/>
      <w:autoSpaceDE w:val="0"/>
      <w:autoSpaceDN w:val="0"/>
      <w:adjustRightInd w:val="0"/>
    </w:pPr>
    <w:rPr>
      <w:rFonts w:ascii="Calibri Light" w:hAnsi="Calibri Light" w:cs="Calibri Light"/>
      <w:color w:val="000000"/>
    </w:rPr>
  </w:style>
  <w:style w:type="character" w:styleId="Nmerodepgina">
    <w:name w:val="page number"/>
    <w:basedOn w:val="Fuentedeprrafopredeter"/>
    <w:uiPriority w:val="99"/>
    <w:semiHidden/>
    <w:unhideWhenUsed/>
    <w:rsid w:val="003E0E92"/>
  </w:style>
  <w:style w:type="paragraph" w:styleId="Prrafodelista">
    <w:name w:val="List Paragraph"/>
    <w:basedOn w:val="Normal"/>
    <w:uiPriority w:val="34"/>
    <w:qFormat/>
    <w:rsid w:val="001B39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373233">
      <w:bodyDiv w:val="1"/>
      <w:marLeft w:val="0"/>
      <w:marRight w:val="0"/>
      <w:marTop w:val="0"/>
      <w:marBottom w:val="0"/>
      <w:divBdr>
        <w:top w:val="none" w:sz="0" w:space="0" w:color="auto"/>
        <w:left w:val="none" w:sz="0" w:space="0" w:color="auto"/>
        <w:bottom w:val="none" w:sz="0" w:space="0" w:color="auto"/>
        <w:right w:val="none" w:sz="0" w:space="0" w:color="auto"/>
      </w:divBdr>
    </w:div>
    <w:div w:id="1723170014">
      <w:bodyDiv w:val="1"/>
      <w:marLeft w:val="0"/>
      <w:marRight w:val="0"/>
      <w:marTop w:val="0"/>
      <w:marBottom w:val="0"/>
      <w:divBdr>
        <w:top w:val="none" w:sz="0" w:space="0" w:color="auto"/>
        <w:left w:val="none" w:sz="0" w:space="0" w:color="auto"/>
        <w:bottom w:val="none" w:sz="0" w:space="0" w:color="auto"/>
        <w:right w:val="none" w:sz="0" w:space="0" w:color="auto"/>
      </w:divBdr>
    </w:div>
    <w:div w:id="1799638454">
      <w:bodyDiv w:val="1"/>
      <w:marLeft w:val="0"/>
      <w:marRight w:val="0"/>
      <w:marTop w:val="0"/>
      <w:marBottom w:val="0"/>
      <w:divBdr>
        <w:top w:val="none" w:sz="0" w:space="0" w:color="auto"/>
        <w:left w:val="none" w:sz="0" w:space="0" w:color="auto"/>
        <w:bottom w:val="none" w:sz="0" w:space="0" w:color="auto"/>
        <w:right w:val="none" w:sz="0" w:space="0" w:color="auto"/>
      </w:divBdr>
    </w:div>
    <w:div w:id="1908763017">
      <w:bodyDiv w:val="1"/>
      <w:marLeft w:val="0"/>
      <w:marRight w:val="0"/>
      <w:marTop w:val="0"/>
      <w:marBottom w:val="0"/>
      <w:divBdr>
        <w:top w:val="none" w:sz="0" w:space="0" w:color="auto"/>
        <w:left w:val="none" w:sz="0" w:space="0" w:color="auto"/>
        <w:bottom w:val="none" w:sz="0" w:space="0" w:color="auto"/>
        <w:right w:val="none" w:sz="0" w:space="0" w:color="auto"/>
      </w:divBdr>
    </w:div>
    <w:div w:id="2046101429">
      <w:bodyDiv w:val="1"/>
      <w:marLeft w:val="0"/>
      <w:marRight w:val="0"/>
      <w:marTop w:val="0"/>
      <w:marBottom w:val="0"/>
      <w:divBdr>
        <w:top w:val="none" w:sz="0" w:space="0" w:color="auto"/>
        <w:left w:val="none" w:sz="0" w:space="0" w:color="auto"/>
        <w:bottom w:val="none" w:sz="0" w:space="0" w:color="auto"/>
        <w:right w:val="none" w:sz="0" w:space="0" w:color="auto"/>
      </w:divBdr>
    </w:div>
    <w:div w:id="2053268571">
      <w:bodyDiv w:val="1"/>
      <w:marLeft w:val="0"/>
      <w:marRight w:val="0"/>
      <w:marTop w:val="0"/>
      <w:marBottom w:val="0"/>
      <w:divBdr>
        <w:top w:val="none" w:sz="0" w:space="0" w:color="auto"/>
        <w:left w:val="none" w:sz="0" w:space="0" w:color="auto"/>
        <w:bottom w:val="none" w:sz="0" w:space="0" w:color="auto"/>
        <w:right w:val="none" w:sz="0" w:space="0" w:color="auto"/>
      </w:divBdr>
    </w:div>
    <w:div w:id="2064062135">
      <w:bodyDiv w:val="1"/>
      <w:marLeft w:val="0"/>
      <w:marRight w:val="0"/>
      <w:marTop w:val="0"/>
      <w:marBottom w:val="0"/>
      <w:divBdr>
        <w:top w:val="none" w:sz="0" w:space="0" w:color="auto"/>
        <w:left w:val="none" w:sz="0" w:space="0" w:color="auto"/>
        <w:bottom w:val="none" w:sz="0" w:space="0" w:color="auto"/>
        <w:right w:val="none" w:sz="0" w:space="0" w:color="auto"/>
      </w:divBdr>
    </w:div>
    <w:div w:id="2136606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parraguez@sanfernandocollege.cl" TargetMode="External"/><Relationship Id="rId8" Type="http://schemas.openxmlformats.org/officeDocument/2006/relationships/image" Target="media/image1.tiff"/><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960</Words>
  <Characters>5286</Characters>
  <Application>Microsoft Macintosh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2020-11-02T03:47:00Z</dcterms:created>
  <dcterms:modified xsi:type="dcterms:W3CDTF">2020-11-02T04:17:00Z</dcterms:modified>
</cp:coreProperties>
</file>