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24FCA" w14:textId="6A9000D3" w:rsidR="000D64FF" w:rsidRPr="00560634" w:rsidRDefault="000D64FF" w:rsidP="000D64FF">
      <w:pPr>
        <w:jc w:val="center"/>
        <w:rPr>
          <w:rFonts w:eastAsia="Times New Roman"/>
          <w:b/>
          <w:lang w:val="es-MX" w:eastAsia="es-MX"/>
        </w:rPr>
      </w:pPr>
      <w:r>
        <w:rPr>
          <w:rFonts w:eastAsia="Times New Roman"/>
          <w:b/>
          <w:lang w:val="es-MX" w:eastAsia="es-MX"/>
        </w:rPr>
        <w:t xml:space="preserve">GUÍA FORMATIVA </w:t>
      </w:r>
      <w:proofErr w:type="spellStart"/>
      <w:r>
        <w:rPr>
          <w:rFonts w:eastAsia="Times New Roman"/>
          <w:b/>
          <w:lang w:val="es-MX" w:eastAsia="es-MX"/>
        </w:rPr>
        <w:t>Nº</w:t>
      </w:r>
      <w:proofErr w:type="spellEnd"/>
      <w:r>
        <w:rPr>
          <w:rFonts w:eastAsia="Times New Roman"/>
          <w:b/>
          <w:lang w:val="es-MX" w:eastAsia="es-MX"/>
        </w:rPr>
        <w:t xml:space="preserve"> </w:t>
      </w:r>
      <w:r w:rsidR="002F5D55">
        <w:rPr>
          <w:rFonts w:eastAsia="Times New Roman"/>
          <w:b/>
          <w:lang w:val="es-MX" w:eastAsia="es-MX"/>
        </w:rPr>
        <w:t>1</w:t>
      </w:r>
      <w:r>
        <w:rPr>
          <w:rFonts w:eastAsia="Times New Roman"/>
          <w:b/>
          <w:lang w:val="es-MX" w:eastAsia="es-MX"/>
        </w:rPr>
        <w:t xml:space="preserve"> </w:t>
      </w:r>
      <w:r w:rsidRPr="00560634">
        <w:rPr>
          <w:rFonts w:eastAsia="Times New Roman"/>
          <w:b/>
          <w:lang w:val="es-MX" w:eastAsia="es-MX"/>
        </w:rPr>
        <w:t xml:space="preserve">DE </w:t>
      </w:r>
      <w:r>
        <w:rPr>
          <w:rFonts w:eastAsia="Times New Roman"/>
          <w:b/>
          <w:lang w:val="es-MX" w:eastAsia="es-MX"/>
        </w:rPr>
        <w:t>EDUCACIÓN CIUDADANA</w:t>
      </w:r>
      <w:r w:rsidR="002F5D55">
        <w:rPr>
          <w:rFonts w:eastAsia="Times New Roman"/>
          <w:b/>
          <w:lang w:val="es-MX" w:eastAsia="es-MX"/>
        </w:rPr>
        <w:t xml:space="preserve"> (OCTUBRE)</w:t>
      </w:r>
    </w:p>
    <w:p w14:paraId="2D6BACAF" w14:textId="77777777" w:rsidR="000D64FF" w:rsidRPr="00560634" w:rsidRDefault="000D64FF" w:rsidP="000D64FF">
      <w:pPr>
        <w:jc w:val="center"/>
        <w:rPr>
          <w:rFonts w:eastAsia="Times New Roman"/>
          <w:b/>
          <w:lang w:val="es-MX" w:eastAsia="es-MX"/>
        </w:rPr>
      </w:pP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5043"/>
      </w:tblGrid>
      <w:tr w:rsidR="000D64FF" w:rsidRPr="00101B83" w14:paraId="7226E920" w14:textId="77777777" w:rsidTr="00AE2F5B">
        <w:trPr>
          <w:trHeight w:val="171"/>
          <w:jc w:val="center"/>
        </w:trPr>
        <w:tc>
          <w:tcPr>
            <w:tcW w:w="2676" w:type="pct"/>
            <w:shd w:val="clear" w:color="auto" w:fill="F2F2F2"/>
            <w:vAlign w:val="center"/>
          </w:tcPr>
          <w:p w14:paraId="16CC872D" w14:textId="77777777" w:rsidR="000D64FF" w:rsidRPr="00101B83" w:rsidRDefault="000D64FF" w:rsidP="00AE2F5B">
            <w:pPr>
              <w:jc w:val="center"/>
              <w:rPr>
                <w:rFonts w:eastAsia="Times New Roman"/>
                <w:b/>
                <w:lang w:val="es-MX" w:eastAsia="es-MX"/>
              </w:rPr>
            </w:pPr>
            <w:r w:rsidRPr="00101B83">
              <w:rPr>
                <w:rFonts w:eastAsia="Times New Roman"/>
                <w:b/>
                <w:lang w:val="es-MX" w:eastAsia="es-MX"/>
              </w:rPr>
              <w:t>Curso</w:t>
            </w:r>
            <w:r>
              <w:rPr>
                <w:rFonts w:eastAsia="Times New Roman"/>
                <w:b/>
                <w:lang w:val="es-MX" w:eastAsia="es-MX"/>
              </w:rPr>
              <w:t>s</w:t>
            </w:r>
          </w:p>
        </w:tc>
        <w:tc>
          <w:tcPr>
            <w:tcW w:w="2324" w:type="pct"/>
            <w:shd w:val="clear" w:color="auto" w:fill="F2F2F2"/>
            <w:vAlign w:val="center"/>
          </w:tcPr>
          <w:p w14:paraId="3F6A7568" w14:textId="77777777" w:rsidR="000D64FF" w:rsidRPr="000331D6" w:rsidRDefault="000D64FF" w:rsidP="00AE2F5B">
            <w:pPr>
              <w:jc w:val="center"/>
              <w:rPr>
                <w:rFonts w:eastAsia="Times New Roman"/>
                <w:lang w:val="es-MX" w:eastAsia="es-MX"/>
              </w:rPr>
            </w:pPr>
            <w:r>
              <w:rPr>
                <w:rFonts w:eastAsia="Times New Roman"/>
                <w:b/>
                <w:lang w:val="es-MX" w:eastAsia="es-MX"/>
              </w:rPr>
              <w:t>Semana de trabajo</w:t>
            </w:r>
          </w:p>
        </w:tc>
      </w:tr>
      <w:tr w:rsidR="000D64FF" w:rsidRPr="00101B83" w14:paraId="7A2F922B" w14:textId="77777777" w:rsidTr="00AE2F5B">
        <w:trPr>
          <w:trHeight w:val="296"/>
          <w:jc w:val="center"/>
        </w:trPr>
        <w:tc>
          <w:tcPr>
            <w:tcW w:w="2676" w:type="pct"/>
            <w:tcBorders>
              <w:bottom w:val="single" w:sz="4" w:space="0" w:color="auto"/>
            </w:tcBorders>
            <w:vAlign w:val="center"/>
          </w:tcPr>
          <w:p w14:paraId="59CA625D" w14:textId="2F65F44C" w:rsidR="000D64FF" w:rsidRPr="00101B83" w:rsidRDefault="00D42175" w:rsidP="00AE2F5B">
            <w:pPr>
              <w:jc w:val="center"/>
              <w:rPr>
                <w:rFonts w:eastAsia="Times New Roman"/>
                <w:lang w:val="es-MX" w:eastAsia="es-MX"/>
              </w:rPr>
            </w:pPr>
            <w:r>
              <w:rPr>
                <w:rFonts w:eastAsia="Times New Roman"/>
                <w:lang w:val="es-MX" w:eastAsia="es-MX"/>
              </w:rPr>
              <w:t>3º Medio D-E</w:t>
            </w:r>
          </w:p>
        </w:tc>
        <w:tc>
          <w:tcPr>
            <w:tcW w:w="2324" w:type="pct"/>
            <w:tcBorders>
              <w:bottom w:val="single" w:sz="4" w:space="0" w:color="auto"/>
            </w:tcBorders>
            <w:vAlign w:val="center"/>
          </w:tcPr>
          <w:p w14:paraId="442C7FCC" w14:textId="77777777" w:rsidR="000D64FF" w:rsidRPr="002F5D55" w:rsidRDefault="000D64FF" w:rsidP="00AE2F5B">
            <w:pPr>
              <w:jc w:val="center"/>
              <w:rPr>
                <w:rFonts w:eastAsia="Times New Roman"/>
                <w:b/>
                <w:bCs/>
                <w:lang w:val="es-MX" w:eastAsia="es-MX"/>
              </w:rPr>
            </w:pPr>
            <w:r w:rsidRPr="002F5D55">
              <w:rPr>
                <w:rFonts w:eastAsia="Times New Roman"/>
                <w:b/>
                <w:bCs/>
                <w:lang w:val="es-MX" w:eastAsia="es-MX"/>
              </w:rPr>
              <w:t xml:space="preserve">Desde el 05 al 09 de </w:t>
            </w:r>
            <w:proofErr w:type="gramStart"/>
            <w:r w:rsidRPr="002F5D55">
              <w:rPr>
                <w:rFonts w:eastAsia="Times New Roman"/>
                <w:b/>
                <w:bCs/>
                <w:lang w:val="es-MX" w:eastAsia="es-MX"/>
              </w:rPr>
              <w:t>Octubre</w:t>
            </w:r>
            <w:proofErr w:type="gramEnd"/>
            <w:r w:rsidRPr="002F5D55">
              <w:rPr>
                <w:rFonts w:eastAsia="Times New Roman"/>
                <w:b/>
                <w:bCs/>
                <w:lang w:val="es-MX" w:eastAsia="es-MX"/>
              </w:rPr>
              <w:t>.</w:t>
            </w:r>
          </w:p>
        </w:tc>
      </w:tr>
      <w:tr w:rsidR="000D64FF" w:rsidRPr="00101B83" w14:paraId="24E636F0" w14:textId="77777777" w:rsidTr="00AE2F5B">
        <w:trPr>
          <w:trHeight w:val="87"/>
          <w:jc w:val="center"/>
        </w:trPr>
        <w:tc>
          <w:tcPr>
            <w:tcW w:w="2676" w:type="pct"/>
            <w:shd w:val="clear" w:color="auto" w:fill="F2F2F2"/>
            <w:vAlign w:val="center"/>
          </w:tcPr>
          <w:p w14:paraId="0E076C64" w14:textId="77777777" w:rsidR="000D64FF" w:rsidRPr="00101B83" w:rsidRDefault="000D64FF" w:rsidP="00AE2F5B">
            <w:pPr>
              <w:jc w:val="center"/>
              <w:rPr>
                <w:rFonts w:eastAsia="Times New Roman"/>
                <w:b/>
                <w:lang w:val="es-MX" w:eastAsia="es-MX"/>
              </w:rPr>
            </w:pPr>
            <w:r>
              <w:rPr>
                <w:rFonts w:eastAsia="Times New Roman"/>
                <w:b/>
                <w:lang w:val="es-MX" w:eastAsia="es-MX"/>
              </w:rPr>
              <w:t>Objetivo Priorizado</w:t>
            </w:r>
          </w:p>
        </w:tc>
        <w:tc>
          <w:tcPr>
            <w:tcW w:w="2324" w:type="pct"/>
            <w:shd w:val="clear" w:color="auto" w:fill="F2F2F2"/>
            <w:vAlign w:val="center"/>
          </w:tcPr>
          <w:p w14:paraId="4DD5FA0A" w14:textId="77777777" w:rsidR="000D64FF" w:rsidRPr="00101B83" w:rsidRDefault="000D64FF" w:rsidP="00AE2F5B">
            <w:pPr>
              <w:jc w:val="center"/>
              <w:rPr>
                <w:rFonts w:eastAsia="Times New Roman"/>
                <w:b/>
                <w:lang w:val="es-MX" w:eastAsia="es-MX"/>
              </w:rPr>
            </w:pPr>
            <w:r w:rsidRPr="00101B83">
              <w:rPr>
                <w:rFonts w:eastAsia="Times New Roman"/>
                <w:b/>
                <w:lang w:val="es-MX" w:eastAsia="es-MX"/>
              </w:rPr>
              <w:t>Habilidades</w:t>
            </w:r>
          </w:p>
        </w:tc>
      </w:tr>
      <w:tr w:rsidR="000D64FF" w:rsidRPr="00101B83" w14:paraId="59F98BFC" w14:textId="77777777" w:rsidTr="00AE2F5B">
        <w:trPr>
          <w:trHeight w:val="795"/>
          <w:jc w:val="center"/>
        </w:trPr>
        <w:tc>
          <w:tcPr>
            <w:tcW w:w="2676" w:type="pct"/>
            <w:vAlign w:val="center"/>
          </w:tcPr>
          <w:p w14:paraId="2ED65ED8" w14:textId="77777777" w:rsidR="000D64FF" w:rsidRPr="00101B83" w:rsidRDefault="000D64FF" w:rsidP="00AE2F5B">
            <w:pPr>
              <w:pStyle w:val="Default"/>
              <w:jc w:val="both"/>
              <w:rPr>
                <w:rFonts w:ascii="Times New Roman" w:hAnsi="Times New Roman" w:cs="Times New Roman"/>
              </w:rPr>
            </w:pPr>
            <w:r w:rsidRPr="00101B83">
              <w:rPr>
                <w:rFonts w:ascii="Times New Roman" w:hAnsi="Times New Roman" w:cs="Times New Roman"/>
                <w:b/>
                <w:bCs/>
              </w:rPr>
              <w:t xml:space="preserve">OA1: </w:t>
            </w:r>
            <w:r w:rsidRPr="00101B83">
              <w:rPr>
                <w:rFonts w:ascii="Times New Roman" w:hAnsi="Times New Roman" w:cs="Times New Roman"/>
              </w:rPr>
              <w:t xml:space="preserve">Identificar los fundamentos, atributos y dimensiones de la democracia y ciudadanía, considerando las libertades fundamentales de las personas como un principio de estas y reconociendo sus implicancias en los deberes del Estado y en los derechos y responsabilidades ciudadanas. </w:t>
            </w:r>
          </w:p>
        </w:tc>
        <w:tc>
          <w:tcPr>
            <w:tcW w:w="2324" w:type="pct"/>
            <w:vAlign w:val="center"/>
          </w:tcPr>
          <w:p w14:paraId="71014D26" w14:textId="77777777" w:rsidR="000D64FF" w:rsidRPr="00101B83" w:rsidRDefault="000D64FF" w:rsidP="00AE2F5B">
            <w:pPr>
              <w:jc w:val="both"/>
              <w:rPr>
                <w:rFonts w:eastAsia="Times New Roman"/>
                <w:lang w:val="es-MX" w:eastAsia="es-MX"/>
              </w:rPr>
            </w:pPr>
            <w:r w:rsidRPr="00101B83">
              <w:rPr>
                <w:rFonts w:eastAsia="Times New Roman"/>
                <w:lang w:val="es-MX" w:eastAsia="es-MX"/>
              </w:rPr>
              <w:t>Conocer, Aplicar, Analizar, Fundamentar y Evaluar</w:t>
            </w:r>
          </w:p>
        </w:tc>
      </w:tr>
      <w:tr w:rsidR="000D64FF" w:rsidRPr="00101B83" w14:paraId="4929D896" w14:textId="77777777" w:rsidTr="00AE2F5B">
        <w:trPr>
          <w:trHeight w:val="183"/>
          <w:jc w:val="center"/>
        </w:trPr>
        <w:tc>
          <w:tcPr>
            <w:tcW w:w="2676" w:type="pct"/>
            <w:shd w:val="clear" w:color="auto" w:fill="F2F2F2" w:themeFill="background1" w:themeFillShade="F2"/>
            <w:vAlign w:val="center"/>
          </w:tcPr>
          <w:p w14:paraId="557C3303" w14:textId="77777777" w:rsidR="000D64FF" w:rsidRPr="00101B83" w:rsidRDefault="000D64FF" w:rsidP="00AE2F5B">
            <w:pPr>
              <w:jc w:val="center"/>
              <w:rPr>
                <w:rFonts w:eastAsia="Times New Roman"/>
                <w:lang w:val="es-MX" w:eastAsia="es-MX"/>
              </w:rPr>
            </w:pPr>
            <w:r w:rsidRPr="00101B83">
              <w:rPr>
                <w:rFonts w:eastAsia="Times New Roman"/>
                <w:b/>
                <w:lang w:val="es-MX" w:eastAsia="es-MX"/>
              </w:rPr>
              <w:t>Contenido</w:t>
            </w:r>
          </w:p>
        </w:tc>
        <w:tc>
          <w:tcPr>
            <w:tcW w:w="2324" w:type="pct"/>
            <w:shd w:val="clear" w:color="auto" w:fill="F2F2F2" w:themeFill="background1" w:themeFillShade="F2"/>
            <w:vAlign w:val="center"/>
          </w:tcPr>
          <w:p w14:paraId="18BDEC95" w14:textId="77777777" w:rsidR="000D64FF" w:rsidRPr="00101B83" w:rsidRDefault="000D64FF" w:rsidP="00AE2F5B">
            <w:pPr>
              <w:jc w:val="center"/>
              <w:rPr>
                <w:rFonts w:eastAsia="Times New Roman"/>
                <w:b/>
                <w:lang w:val="es-MX" w:eastAsia="es-MX"/>
              </w:rPr>
            </w:pPr>
            <w:r>
              <w:rPr>
                <w:rFonts w:eastAsia="Times New Roman"/>
                <w:b/>
                <w:lang w:val="es-MX" w:eastAsia="es-MX"/>
              </w:rPr>
              <w:t>Correo Electrónico y Horario de Atención</w:t>
            </w:r>
          </w:p>
        </w:tc>
      </w:tr>
      <w:tr w:rsidR="000D64FF" w:rsidRPr="00101B83" w14:paraId="42DF0D61" w14:textId="77777777" w:rsidTr="00D42175">
        <w:trPr>
          <w:trHeight w:val="239"/>
          <w:jc w:val="center"/>
        </w:trPr>
        <w:tc>
          <w:tcPr>
            <w:tcW w:w="2676" w:type="pct"/>
            <w:vAlign w:val="center"/>
          </w:tcPr>
          <w:p w14:paraId="6566BEC4" w14:textId="74CC15E9" w:rsidR="000D64FF" w:rsidRPr="00E74EE4" w:rsidRDefault="00D42175" w:rsidP="00AE2F5B">
            <w:pPr>
              <w:jc w:val="both"/>
              <w:rPr>
                <w:rFonts w:eastAsia="Times New Roman"/>
                <w:lang w:val="es-MX" w:eastAsia="es-MX"/>
              </w:rPr>
            </w:pPr>
            <w:r>
              <w:rPr>
                <w:rFonts w:eastAsia="Times New Roman"/>
                <w:lang w:val="es-MX" w:eastAsia="es-MX"/>
              </w:rPr>
              <w:t xml:space="preserve">Analizar las </w:t>
            </w:r>
            <w:r w:rsidR="003F677A">
              <w:rPr>
                <w:rFonts w:eastAsia="Times New Roman"/>
                <w:lang w:val="es-MX" w:eastAsia="es-MX"/>
              </w:rPr>
              <w:t>características de la ciudadanía en Chile.</w:t>
            </w:r>
          </w:p>
        </w:tc>
        <w:tc>
          <w:tcPr>
            <w:tcW w:w="2324" w:type="pct"/>
            <w:vAlign w:val="center"/>
          </w:tcPr>
          <w:p w14:paraId="31EBEC90" w14:textId="24B337E1" w:rsidR="000D64FF" w:rsidRPr="00D42175" w:rsidRDefault="000036CD" w:rsidP="00AE2F5B">
            <w:pPr>
              <w:jc w:val="both"/>
              <w:rPr>
                <w:rFonts w:eastAsia="Times New Roman"/>
                <w:lang w:val="es-MX" w:eastAsia="es-MX"/>
              </w:rPr>
            </w:pPr>
            <w:hyperlink r:id="rId7" w:history="1">
              <w:r w:rsidR="000D64FF" w:rsidRPr="00101B83">
                <w:rPr>
                  <w:rStyle w:val="Hipervnculo"/>
                  <w:rFonts w:eastAsia="Times New Roman"/>
                  <w:lang w:val="es-MX" w:eastAsia="es-MX"/>
                </w:rPr>
                <w:t>mparraguez@sanfernandocollege.cl</w:t>
              </w:r>
            </w:hyperlink>
            <w:r w:rsidR="000D64FF" w:rsidRPr="00101B83">
              <w:rPr>
                <w:rFonts w:eastAsia="Times New Roman"/>
                <w:lang w:val="es-MX" w:eastAsia="es-MX"/>
              </w:rPr>
              <w:t xml:space="preserve"> </w:t>
            </w:r>
            <w:r w:rsidR="000D64FF" w:rsidRPr="003946F6">
              <w:rPr>
                <w:rFonts w:eastAsia="Times New Roman"/>
                <w:sz w:val="20"/>
                <w:szCs w:val="20"/>
                <w:lang w:val="es-MX" w:eastAsia="es-MX"/>
              </w:rPr>
              <w:t xml:space="preserve"> </w:t>
            </w:r>
          </w:p>
        </w:tc>
      </w:tr>
    </w:tbl>
    <w:p w14:paraId="1C0243AB" w14:textId="77777777" w:rsidR="00D42175" w:rsidRDefault="00D42175" w:rsidP="00D42175">
      <w:pPr>
        <w:jc w:val="both"/>
      </w:pPr>
    </w:p>
    <w:p w14:paraId="3B40637B" w14:textId="4EFB7D1D" w:rsidR="00D42175" w:rsidRPr="00D42175" w:rsidRDefault="00D42175" w:rsidP="00D42175">
      <w:pPr>
        <w:jc w:val="center"/>
        <w:rPr>
          <w:b/>
        </w:rPr>
      </w:pPr>
      <w:r w:rsidRPr="00D42175">
        <w:rPr>
          <w:b/>
        </w:rPr>
        <w:t>LA CIUDADANÍA POLÍTICA</w:t>
      </w:r>
    </w:p>
    <w:p w14:paraId="0A7370B5" w14:textId="6D9C309F" w:rsidR="00D42175" w:rsidRPr="003F677A" w:rsidRDefault="00D42175" w:rsidP="00D42175">
      <w:pPr>
        <w:jc w:val="both"/>
        <w:rPr>
          <w:b/>
        </w:rPr>
      </w:pPr>
      <w:r w:rsidRPr="00D42175">
        <w:t xml:space="preserve">La ciudadanía es una condición que permite a los individuos ejercer sus derechos políticos en el marco de la democracia constitucional. </w:t>
      </w:r>
      <w:r w:rsidRPr="003F677A">
        <w:rPr>
          <w:b/>
        </w:rPr>
        <w:t>Algunos de esos derechos, como el de sufragio, pueden ser ejercidos por personas que no sean nacionales, pero ello ocurre por excepción y sobre la base de ciertas condiciones. Lo normal y regular es que los derechos políticos sean exclusivos de los ciudadanos.</w:t>
      </w:r>
    </w:p>
    <w:p w14:paraId="5471755E" w14:textId="5AE79FF6" w:rsidR="003F677A" w:rsidRDefault="005057DB" w:rsidP="00D42175">
      <w:pPr>
        <w:jc w:val="both"/>
      </w:pPr>
      <w:r>
        <w:rPr>
          <w:noProof/>
        </w:rPr>
        <w:drawing>
          <wp:inline distT="0" distB="0" distL="0" distR="0" wp14:anchorId="02F07783" wp14:editId="0D2B1A97">
            <wp:extent cx="5957821" cy="1701037"/>
            <wp:effectExtent l="0" t="0" r="0" b="1270"/>
            <wp:docPr id="1" name="Imagen 1" descr="Captura%20de%20pantalla%202020-10-04%20a%20las%2023.4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20-10-04%20a%20las%2023.43.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876" cy="1705906"/>
                    </a:xfrm>
                    <a:prstGeom prst="rect">
                      <a:avLst/>
                    </a:prstGeom>
                    <a:noFill/>
                    <a:ln>
                      <a:noFill/>
                    </a:ln>
                  </pic:spPr>
                </pic:pic>
              </a:graphicData>
            </a:graphic>
          </wp:inline>
        </w:drawing>
      </w:r>
      <w:r w:rsidR="003F677A">
        <w:rPr>
          <w:noProof/>
        </w:rPr>
        <w:drawing>
          <wp:anchor distT="0" distB="0" distL="114300" distR="114300" simplePos="0" relativeHeight="251658240" behindDoc="0" locked="0" layoutInCell="1" allowOverlap="1" wp14:anchorId="70951B10" wp14:editId="4F2C2BD0">
            <wp:simplePos x="0" y="0"/>
            <wp:positionH relativeFrom="column">
              <wp:posOffset>130175</wp:posOffset>
            </wp:positionH>
            <wp:positionV relativeFrom="paragraph">
              <wp:posOffset>1875155</wp:posOffset>
            </wp:positionV>
            <wp:extent cx="6058535" cy="4281805"/>
            <wp:effectExtent l="0" t="0" r="12065" b="10795"/>
            <wp:wrapTight wrapText="bothSides">
              <wp:wrapPolygon edited="0">
                <wp:start x="0" y="0"/>
                <wp:lineTo x="0" y="21526"/>
                <wp:lineTo x="21552" y="21526"/>
                <wp:lineTo x="21552" y="0"/>
                <wp:lineTo x="0" y="0"/>
              </wp:wrapPolygon>
            </wp:wrapTight>
            <wp:docPr id="2" name="Imagen 2" descr="Captura%20de%20pantalla%202020-10-04%20a%20las%2023.4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20-10-04%20a%20las%2023.44.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8535" cy="428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A131D" w14:textId="6841BF5F" w:rsidR="003F677A" w:rsidRDefault="003F677A" w:rsidP="00D42175">
      <w:pPr>
        <w:jc w:val="both"/>
      </w:pPr>
    </w:p>
    <w:p w14:paraId="0FCCA8B1" w14:textId="77777777" w:rsidR="00AB1B48" w:rsidRDefault="00AB1B48" w:rsidP="00D42175">
      <w:pPr>
        <w:jc w:val="both"/>
      </w:pPr>
    </w:p>
    <w:p w14:paraId="397059E7" w14:textId="77777777" w:rsidR="00AB1B48" w:rsidRDefault="00AB1B48" w:rsidP="00D42175">
      <w:pPr>
        <w:jc w:val="both"/>
      </w:pPr>
    </w:p>
    <w:p w14:paraId="512133B7" w14:textId="7F89D3FE" w:rsidR="003F677A" w:rsidRPr="00AB1B48" w:rsidRDefault="003F677A" w:rsidP="00AB1B48">
      <w:pPr>
        <w:pStyle w:val="Prrafodelista"/>
        <w:numPr>
          <w:ilvl w:val="0"/>
          <w:numId w:val="2"/>
        </w:numPr>
        <w:jc w:val="both"/>
        <w:rPr>
          <w:rFonts w:ascii="Times New Roman" w:hAnsi="Times New Roman" w:cs="Times New Roman"/>
          <w:b/>
          <w:sz w:val="24"/>
          <w:szCs w:val="24"/>
        </w:rPr>
      </w:pPr>
      <w:r w:rsidRPr="00AB1B48">
        <w:rPr>
          <w:rFonts w:ascii="Times New Roman" w:hAnsi="Times New Roman" w:cs="Times New Roman"/>
          <w:b/>
          <w:sz w:val="24"/>
          <w:szCs w:val="24"/>
        </w:rPr>
        <w:lastRenderedPageBreak/>
        <w:t>Suspensión del derecho a sufragio</w:t>
      </w:r>
    </w:p>
    <w:p w14:paraId="2CF3EA75" w14:textId="269CE146" w:rsidR="003F677A" w:rsidRPr="003F677A" w:rsidRDefault="003F677A" w:rsidP="003F677A">
      <w:pPr>
        <w:jc w:val="both"/>
      </w:pPr>
      <w:r w:rsidRPr="003F677A">
        <w:t>El derecho a sufragio a puede suspenderse por c</w:t>
      </w:r>
      <w:r>
        <w:t xml:space="preserve">ausales claramente establecidas </w:t>
      </w:r>
      <w:r w:rsidRPr="003F677A">
        <w:t>por la Constitución. En el artículo 16 se señala que el sufragio</w:t>
      </w:r>
      <w:r>
        <w:t xml:space="preserve"> </w:t>
      </w:r>
      <w:r w:rsidRPr="003F677A">
        <w:t>puede suspenderse:</w:t>
      </w:r>
    </w:p>
    <w:p w14:paraId="2476550F" w14:textId="6709CB2C" w:rsidR="003F677A" w:rsidRPr="00AB1B48" w:rsidRDefault="003F677A" w:rsidP="003F677A">
      <w:pPr>
        <w:pStyle w:val="Prrafodelista"/>
        <w:numPr>
          <w:ilvl w:val="0"/>
          <w:numId w:val="1"/>
        </w:numPr>
        <w:jc w:val="both"/>
        <w:rPr>
          <w:rFonts w:ascii="Times New Roman" w:hAnsi="Times New Roman" w:cs="Times New Roman"/>
          <w:i/>
          <w:sz w:val="24"/>
          <w:szCs w:val="24"/>
        </w:rPr>
      </w:pPr>
      <w:r w:rsidRPr="00AB1B48">
        <w:rPr>
          <w:rFonts w:ascii="Times New Roman" w:hAnsi="Times New Roman" w:cs="Times New Roman"/>
          <w:i/>
          <w:sz w:val="24"/>
          <w:szCs w:val="24"/>
        </w:rPr>
        <w:t>“1° Por interdicción en caso de demencia”.</w:t>
      </w:r>
    </w:p>
    <w:p w14:paraId="6AFA298F" w14:textId="6608C18A" w:rsidR="003F677A" w:rsidRPr="003F677A" w:rsidRDefault="00AB1B48" w:rsidP="003F677A">
      <w:pPr>
        <w:jc w:val="both"/>
      </w:pPr>
      <w:r w:rsidRPr="00AB1B48">
        <w:rPr>
          <w:b/>
        </w:rPr>
        <w:t>Explicación:</w:t>
      </w:r>
      <w:r>
        <w:t xml:space="preserve"> </w:t>
      </w:r>
      <w:r w:rsidR="003F677A" w:rsidRPr="003F677A">
        <w:t>Esta es una declaración hecha por un tribu</w:t>
      </w:r>
      <w:r w:rsidR="003F677A">
        <w:t xml:space="preserve">nal competente, en virtud de la </w:t>
      </w:r>
      <w:r w:rsidR="003F677A" w:rsidRPr="003F677A">
        <w:t>cual se reconoce a una persona como incapaz para realizar actos jurídicos.</w:t>
      </w:r>
      <w:r w:rsidR="003F677A">
        <w:t xml:space="preserve"> </w:t>
      </w:r>
      <w:r w:rsidR="003F677A" w:rsidRPr="003F677A">
        <w:t>La interdicción dura tanto como la causal (en este caso, demencia) que la</w:t>
      </w:r>
      <w:r w:rsidR="003F677A">
        <w:t xml:space="preserve"> </w:t>
      </w:r>
      <w:r w:rsidR="003F677A" w:rsidRPr="003F677A">
        <w:t xml:space="preserve">provocó, de modo </w:t>
      </w:r>
      <w:proofErr w:type="gramStart"/>
      <w:r w:rsidR="003F677A" w:rsidRPr="003F677A">
        <w:t>que</w:t>
      </w:r>
      <w:proofErr w:type="gramEnd"/>
      <w:r w:rsidR="003F677A" w:rsidRPr="003F677A">
        <w:t xml:space="preserve"> si la persona afectada logra superar su estado de demencia,</w:t>
      </w:r>
      <w:r w:rsidR="003F677A">
        <w:t xml:space="preserve"> </w:t>
      </w:r>
      <w:r w:rsidR="003F677A" w:rsidRPr="003F677A">
        <w:t>debe ser revocada la resolución judicial que estableció la interdicción.</w:t>
      </w:r>
    </w:p>
    <w:p w14:paraId="42F7D243" w14:textId="467B4F50" w:rsidR="003F677A" w:rsidRPr="00AB1B48" w:rsidRDefault="003F677A" w:rsidP="003F677A">
      <w:pPr>
        <w:pStyle w:val="Prrafodelista"/>
        <w:numPr>
          <w:ilvl w:val="0"/>
          <w:numId w:val="1"/>
        </w:numPr>
        <w:jc w:val="both"/>
        <w:rPr>
          <w:rFonts w:ascii="Times New Roman" w:hAnsi="Times New Roman" w:cs="Times New Roman"/>
          <w:i/>
          <w:sz w:val="24"/>
          <w:szCs w:val="24"/>
        </w:rPr>
      </w:pPr>
      <w:r w:rsidRPr="00AB1B48">
        <w:rPr>
          <w:rFonts w:ascii="Times New Roman" w:hAnsi="Times New Roman" w:cs="Times New Roman"/>
          <w:i/>
          <w:sz w:val="24"/>
          <w:szCs w:val="24"/>
        </w:rPr>
        <w:t>“2° Por hallarse la persona acusada por delito que merezca pena aflictiva o por delito que la ley califique como conducta terrorista”.</w:t>
      </w:r>
    </w:p>
    <w:p w14:paraId="030566B8" w14:textId="062ACF14" w:rsidR="003F677A" w:rsidRPr="003F677A" w:rsidRDefault="00AB1B48" w:rsidP="003F677A">
      <w:pPr>
        <w:jc w:val="both"/>
      </w:pPr>
      <w:r w:rsidRPr="00AB1B48">
        <w:rPr>
          <w:b/>
        </w:rPr>
        <w:t>Explicación:</w:t>
      </w:r>
      <w:r>
        <w:t xml:space="preserve"> </w:t>
      </w:r>
      <w:r w:rsidR="003F677A" w:rsidRPr="003F677A">
        <w:t>La pena aflictiva en Chile es privativa de libertad, ya que se sanciona con</w:t>
      </w:r>
      <w:r w:rsidR="003F677A">
        <w:t xml:space="preserve"> </w:t>
      </w:r>
      <w:r w:rsidR="003F677A" w:rsidRPr="003F677A">
        <w:t>presidio, reclusión, confinamiento, extrañamiento o relegación menor en su</w:t>
      </w:r>
      <w:r w:rsidR="003F677A">
        <w:t xml:space="preserve"> </w:t>
      </w:r>
      <w:r w:rsidR="003F677A" w:rsidRPr="003F677A">
        <w:t>grado máximo. Una pena aflictiva tiene un plazo mínimo de tres años y un</w:t>
      </w:r>
      <w:r w:rsidR="003F677A">
        <w:t xml:space="preserve"> </w:t>
      </w:r>
      <w:r w:rsidR="003F677A" w:rsidRPr="003F677A">
        <w:t>día. En el caso del delito terrorista, no importa si implica o no pena aflictiva.</w:t>
      </w:r>
    </w:p>
    <w:p w14:paraId="0AE9E8D1" w14:textId="4E7307D9" w:rsidR="003F677A" w:rsidRPr="00AB1B48" w:rsidRDefault="003F677A" w:rsidP="003F677A">
      <w:pPr>
        <w:pStyle w:val="Prrafodelista"/>
        <w:numPr>
          <w:ilvl w:val="0"/>
          <w:numId w:val="1"/>
        </w:numPr>
        <w:jc w:val="both"/>
        <w:rPr>
          <w:rFonts w:ascii="Times New Roman" w:hAnsi="Times New Roman" w:cs="Times New Roman"/>
          <w:i/>
          <w:sz w:val="24"/>
          <w:szCs w:val="24"/>
        </w:rPr>
      </w:pPr>
      <w:r w:rsidRPr="00AB1B48">
        <w:rPr>
          <w:rFonts w:ascii="Times New Roman" w:hAnsi="Times New Roman" w:cs="Times New Roman"/>
          <w:i/>
          <w:sz w:val="24"/>
          <w:szCs w:val="24"/>
        </w:rPr>
        <w:t>“3° Por haber sido sancionado por el Tribunal Constitucional en conformidad al inciso séptimo del número 15 de esta Constitución. Los que por esta causa se hallaren privados del ejercicio del derecho de sufragio, lo recuperarán al término de cinco años, contados desde la declaración del tribunal. Esta suspensión no producirá otro efecto legal, sin perjuicio de lo dispuesto en el inciso séptimo del número 15 del artículo 19.</w:t>
      </w:r>
    </w:p>
    <w:p w14:paraId="1E4DB31E" w14:textId="6A337D39" w:rsidR="003F677A" w:rsidRDefault="00AB1B48" w:rsidP="003F677A">
      <w:pPr>
        <w:jc w:val="both"/>
      </w:pPr>
      <w:r w:rsidRPr="00AB1B48">
        <w:rPr>
          <w:b/>
        </w:rPr>
        <w:t>Explicación:</w:t>
      </w:r>
      <w:r>
        <w:t xml:space="preserve"> </w:t>
      </w:r>
      <w:r w:rsidR="003F677A" w:rsidRPr="003F677A">
        <w:t>Esta última causal se refiere a los casos de</w:t>
      </w:r>
      <w:r w:rsidR="003F677A">
        <w:t xml:space="preserve"> que el Tribunal Constitucional </w:t>
      </w:r>
      <w:r w:rsidR="003F677A" w:rsidRPr="003F677A">
        <w:t>declarase inconstitucionales a movimientos o partidos que no respeten los</w:t>
      </w:r>
      <w:r w:rsidR="003F677A">
        <w:t xml:space="preserve"> </w:t>
      </w:r>
      <w:r w:rsidR="003F677A" w:rsidRPr="003F677A">
        <w:t>principios democráticos y constitucionales, o procuren establecer un</w:t>
      </w:r>
      <w:r w:rsidR="003F677A">
        <w:t xml:space="preserve"> </w:t>
      </w:r>
      <w:r w:rsidR="003F677A" w:rsidRPr="003F677A">
        <w:t>régimen totalitario, o inciten la violencia como método de lucha política.</w:t>
      </w:r>
      <w:r w:rsidR="003F677A">
        <w:t xml:space="preserve"> </w:t>
      </w:r>
      <w:r w:rsidR="003F677A" w:rsidRPr="003F677A">
        <w:t>A los ciudadanos individualizados por pertenecer a estos movimientos declarados</w:t>
      </w:r>
      <w:r w:rsidR="003F677A">
        <w:t xml:space="preserve"> </w:t>
      </w:r>
      <w:r w:rsidR="003F677A" w:rsidRPr="003F677A">
        <w:t>inconstitucionales, se les suspende el derecho de sufragio por cinco</w:t>
      </w:r>
      <w:r w:rsidR="003F677A">
        <w:t xml:space="preserve"> </w:t>
      </w:r>
      <w:r w:rsidR="003F677A" w:rsidRPr="003F677A">
        <w:t>años. Al cabo de los cinco años de suspensión, el derecho de sufragio se</w:t>
      </w:r>
      <w:r w:rsidR="003F677A">
        <w:t xml:space="preserve"> </w:t>
      </w:r>
      <w:r w:rsidR="003F677A" w:rsidRPr="003F677A">
        <w:t>recupera por una ley de quórum calificado, una vez cumplida la condena.</w:t>
      </w:r>
    </w:p>
    <w:p w14:paraId="4D628F9A" w14:textId="14D70676" w:rsidR="00AB1B48" w:rsidRDefault="0007746F" w:rsidP="00AB1B48">
      <w:pPr>
        <w:rPr>
          <w:rFonts w:eastAsia="Times New Roman"/>
        </w:rPr>
      </w:pPr>
      <w:r>
        <w:rPr>
          <w:rFonts w:eastAsia="Times New Roman"/>
          <w:noProof/>
        </w:rPr>
        <w:drawing>
          <wp:anchor distT="0" distB="0" distL="114300" distR="114300" simplePos="0" relativeHeight="251663360" behindDoc="0" locked="0" layoutInCell="1" allowOverlap="1" wp14:anchorId="3641AE62" wp14:editId="0CB51FDF">
            <wp:simplePos x="0" y="0"/>
            <wp:positionH relativeFrom="column">
              <wp:posOffset>16510</wp:posOffset>
            </wp:positionH>
            <wp:positionV relativeFrom="paragraph">
              <wp:posOffset>267970</wp:posOffset>
            </wp:positionV>
            <wp:extent cx="3008630" cy="2284095"/>
            <wp:effectExtent l="0" t="0" r="0" b="1905"/>
            <wp:wrapTight wrapText="bothSides">
              <wp:wrapPolygon edited="0">
                <wp:start x="0" y="0"/>
                <wp:lineTo x="0" y="21378"/>
                <wp:lineTo x="21336" y="21378"/>
                <wp:lineTo x="21336" y="0"/>
                <wp:lineTo x="0" y="0"/>
              </wp:wrapPolygon>
            </wp:wrapTight>
            <wp:docPr id="7" name="Imagen 7" descr="a demencia se duplicará para 2050 - Gacet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mencia se duplicará para 2050 - Gaceta Médi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150"/>
                    <a:stretch/>
                  </pic:blipFill>
                  <pic:spPr bwMode="auto">
                    <a:xfrm>
                      <a:off x="0" y="0"/>
                      <a:ext cx="3008630" cy="22840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746F">
        <w:rPr>
          <w:noProof/>
        </w:rPr>
        <w:drawing>
          <wp:anchor distT="0" distB="0" distL="114300" distR="114300" simplePos="0" relativeHeight="251664384" behindDoc="0" locked="0" layoutInCell="1" allowOverlap="1" wp14:anchorId="4D35B4DC" wp14:editId="22A8E986">
            <wp:simplePos x="0" y="0"/>
            <wp:positionH relativeFrom="column">
              <wp:posOffset>3102610</wp:posOffset>
            </wp:positionH>
            <wp:positionV relativeFrom="paragraph">
              <wp:posOffset>267970</wp:posOffset>
            </wp:positionV>
            <wp:extent cx="3291205" cy="2285365"/>
            <wp:effectExtent l="0" t="0" r="10795" b="635"/>
            <wp:wrapTight wrapText="bothSides">
              <wp:wrapPolygon edited="0">
                <wp:start x="0" y="0"/>
                <wp:lineTo x="0" y="21366"/>
                <wp:lineTo x="21504" y="21366"/>
                <wp:lineTo x="2150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91205" cy="2285365"/>
                    </a:xfrm>
                    <a:prstGeom prst="rect">
                      <a:avLst/>
                    </a:prstGeom>
                  </pic:spPr>
                </pic:pic>
              </a:graphicData>
            </a:graphic>
            <wp14:sizeRelH relativeFrom="page">
              <wp14:pctWidth>0</wp14:pctWidth>
            </wp14:sizeRelH>
            <wp14:sizeRelV relativeFrom="page">
              <wp14:pctHeight>0</wp14:pctHeight>
            </wp14:sizeRelV>
          </wp:anchor>
        </w:drawing>
      </w:r>
    </w:p>
    <w:p w14:paraId="2B98109C" w14:textId="181F881B" w:rsidR="00AB1B48" w:rsidRDefault="0007746F" w:rsidP="003F677A">
      <w:pPr>
        <w:jc w:val="both"/>
      </w:pPr>
      <w:r w:rsidRPr="0007746F">
        <w:rPr>
          <w:noProof/>
        </w:rPr>
        <w:drawing>
          <wp:anchor distT="0" distB="0" distL="114300" distR="114300" simplePos="0" relativeHeight="251667456" behindDoc="0" locked="0" layoutInCell="1" allowOverlap="1" wp14:anchorId="3A258F07" wp14:editId="58923359">
            <wp:simplePos x="0" y="0"/>
            <wp:positionH relativeFrom="column">
              <wp:posOffset>1500121</wp:posOffset>
            </wp:positionH>
            <wp:positionV relativeFrom="paragraph">
              <wp:posOffset>2446242</wp:posOffset>
            </wp:positionV>
            <wp:extent cx="3438525" cy="2293620"/>
            <wp:effectExtent l="0" t="0" r="0" b="0"/>
            <wp:wrapTight wrapText="bothSides">
              <wp:wrapPolygon edited="0">
                <wp:start x="0" y="0"/>
                <wp:lineTo x="0" y="21289"/>
                <wp:lineTo x="21381" y="21289"/>
                <wp:lineTo x="2138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2293620"/>
                    </a:xfrm>
                    <a:prstGeom prst="rect">
                      <a:avLst/>
                    </a:prstGeom>
                  </pic:spPr>
                </pic:pic>
              </a:graphicData>
            </a:graphic>
            <wp14:sizeRelH relativeFrom="page">
              <wp14:pctWidth>0</wp14:pctWidth>
            </wp14:sizeRelH>
            <wp14:sizeRelV relativeFrom="page">
              <wp14:pctHeight>0</wp14:pctHeight>
            </wp14:sizeRelV>
          </wp:anchor>
        </w:drawing>
      </w:r>
    </w:p>
    <w:p w14:paraId="420F43D2" w14:textId="04FFEACB" w:rsidR="00AB1B48" w:rsidRDefault="00AB1B48" w:rsidP="003F677A">
      <w:pPr>
        <w:jc w:val="both"/>
      </w:pPr>
    </w:p>
    <w:p w14:paraId="5EA99C17" w14:textId="16E79CA7" w:rsidR="00AB1B48" w:rsidRDefault="00AB1B48" w:rsidP="003F677A">
      <w:pPr>
        <w:jc w:val="both"/>
      </w:pPr>
    </w:p>
    <w:p w14:paraId="2BD5FF2A" w14:textId="0FA5B3A4" w:rsidR="00AB1B48" w:rsidRDefault="00AB1B48" w:rsidP="003F677A">
      <w:pPr>
        <w:jc w:val="both"/>
      </w:pPr>
    </w:p>
    <w:p w14:paraId="4BAABBCF" w14:textId="5DD7A894" w:rsidR="00AB1B48" w:rsidRDefault="00AB1B48" w:rsidP="003F677A">
      <w:pPr>
        <w:jc w:val="both"/>
      </w:pPr>
    </w:p>
    <w:p w14:paraId="6FF3CDF6" w14:textId="575C0DA5" w:rsidR="00AB1B48" w:rsidRDefault="00AB1B48" w:rsidP="003F677A">
      <w:pPr>
        <w:jc w:val="both"/>
      </w:pPr>
    </w:p>
    <w:p w14:paraId="7731476E" w14:textId="00F99171" w:rsidR="00AB1B48" w:rsidRDefault="00AB1B48" w:rsidP="003F677A">
      <w:pPr>
        <w:jc w:val="both"/>
      </w:pPr>
    </w:p>
    <w:p w14:paraId="388E4AE9" w14:textId="14205932" w:rsidR="00AB1B48" w:rsidRDefault="00AB1B48" w:rsidP="003F677A">
      <w:pPr>
        <w:jc w:val="both"/>
      </w:pPr>
    </w:p>
    <w:p w14:paraId="45DCA18A" w14:textId="5D6B70BE" w:rsidR="00AB1B48" w:rsidRDefault="00AB1B48" w:rsidP="003F677A">
      <w:pPr>
        <w:jc w:val="both"/>
      </w:pPr>
    </w:p>
    <w:p w14:paraId="3C2DFD41" w14:textId="296CB6D6" w:rsidR="00AB1B48" w:rsidRDefault="00AB1B48" w:rsidP="003F677A">
      <w:pPr>
        <w:jc w:val="both"/>
      </w:pPr>
    </w:p>
    <w:p w14:paraId="4B598373" w14:textId="163A3E46" w:rsidR="00AB1B48" w:rsidRDefault="00AB1B48" w:rsidP="003F677A">
      <w:pPr>
        <w:jc w:val="both"/>
      </w:pPr>
    </w:p>
    <w:p w14:paraId="4414AEA4" w14:textId="19FFEBB8" w:rsidR="00AB1B48" w:rsidRDefault="00AB1B48" w:rsidP="003F677A">
      <w:pPr>
        <w:jc w:val="both"/>
      </w:pPr>
    </w:p>
    <w:p w14:paraId="1AB513DA" w14:textId="323ECDD2" w:rsidR="00AB1B48" w:rsidRDefault="00AB1B48" w:rsidP="003F677A">
      <w:pPr>
        <w:jc w:val="both"/>
      </w:pPr>
    </w:p>
    <w:p w14:paraId="687C9794" w14:textId="77777777" w:rsidR="00AB1B48" w:rsidRDefault="00AB1B48" w:rsidP="003F677A">
      <w:pPr>
        <w:jc w:val="both"/>
      </w:pPr>
    </w:p>
    <w:p w14:paraId="0CBAFB91" w14:textId="595BEA8C" w:rsidR="00AB1B48" w:rsidRPr="00AB1B48" w:rsidRDefault="0007746F" w:rsidP="00AB1B48">
      <w:pPr>
        <w:pStyle w:val="Prrafodelista"/>
        <w:numPr>
          <w:ilvl w:val="0"/>
          <w:numId w:val="2"/>
        </w:numPr>
        <w:jc w:val="both"/>
        <w:rPr>
          <w:rFonts w:ascii="Times New Roman" w:hAnsi="Times New Roman" w:cs="Times New Roman"/>
          <w:b/>
          <w:sz w:val="24"/>
          <w:szCs w:val="24"/>
        </w:rPr>
      </w:pPr>
      <w:r w:rsidRPr="0007746F">
        <w:rPr>
          <w:noProof/>
        </w:rPr>
        <w:drawing>
          <wp:anchor distT="0" distB="0" distL="114300" distR="114300" simplePos="0" relativeHeight="251668480" behindDoc="0" locked="0" layoutInCell="1" allowOverlap="1" wp14:anchorId="1E159787" wp14:editId="4D6E3641">
            <wp:simplePos x="0" y="0"/>
            <wp:positionH relativeFrom="column">
              <wp:posOffset>2741930</wp:posOffset>
            </wp:positionH>
            <wp:positionV relativeFrom="paragraph">
              <wp:posOffset>268605</wp:posOffset>
            </wp:positionV>
            <wp:extent cx="3594100" cy="2511425"/>
            <wp:effectExtent l="0" t="0" r="12700" b="3175"/>
            <wp:wrapTight wrapText="bothSides">
              <wp:wrapPolygon edited="0">
                <wp:start x="0" y="0"/>
                <wp:lineTo x="0" y="21409"/>
                <wp:lineTo x="21524" y="21409"/>
                <wp:lineTo x="2152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0" cy="2511425"/>
                    </a:xfrm>
                    <a:prstGeom prst="rect">
                      <a:avLst/>
                    </a:prstGeom>
                  </pic:spPr>
                </pic:pic>
              </a:graphicData>
            </a:graphic>
            <wp14:sizeRelH relativeFrom="page">
              <wp14:pctWidth>0</wp14:pctWidth>
            </wp14:sizeRelH>
            <wp14:sizeRelV relativeFrom="page">
              <wp14:pctHeight>0</wp14:pctHeight>
            </wp14:sizeRelV>
          </wp:anchor>
        </w:drawing>
      </w:r>
      <w:r w:rsidR="00AB1B48" w:rsidRPr="00AB1B48">
        <w:rPr>
          <w:rFonts w:ascii="Times New Roman" w:hAnsi="Times New Roman" w:cs="Times New Roman"/>
          <w:b/>
          <w:sz w:val="24"/>
          <w:szCs w:val="24"/>
        </w:rPr>
        <w:t>El sufragio electoral y los plebiscitos</w:t>
      </w:r>
    </w:p>
    <w:p w14:paraId="295EAE24" w14:textId="0F7367A5" w:rsidR="00AB1B48" w:rsidRPr="00AB1B48" w:rsidRDefault="00AB1B48" w:rsidP="00AB1B48">
      <w:pPr>
        <w:jc w:val="both"/>
      </w:pPr>
      <w:r w:rsidRPr="00AB1B48">
        <w:t>El inciso segundo del artículo 15 descri</w:t>
      </w:r>
      <w:r>
        <w:t xml:space="preserve">be las formas en que se utiliza </w:t>
      </w:r>
      <w:r w:rsidRPr="00AB1B48">
        <w:t>el sufragio en Chile: las elecciones periódicas y los plebiscitos que la</w:t>
      </w:r>
      <w:r>
        <w:t xml:space="preserve"> </w:t>
      </w:r>
      <w:r w:rsidRPr="00AB1B48">
        <w:t>Constitución establece.</w:t>
      </w:r>
      <w:r>
        <w:t xml:space="preserve"> Las </w:t>
      </w:r>
      <w:r w:rsidRPr="00AB1B48">
        <w:t>elecciones periódicas se refieren a todos los</w:t>
      </w:r>
      <w:r>
        <w:t xml:space="preserve"> </w:t>
      </w:r>
      <w:r w:rsidRPr="00AB1B48">
        <w:t>eventos públicos en que se eligen autoridades representativas del Estado, es</w:t>
      </w:r>
      <w:r>
        <w:t xml:space="preserve"> </w:t>
      </w:r>
      <w:r w:rsidRPr="00AB1B48">
        <w:t>decir: elecciones presidenciales, parlamentarias y municipales y de CORE</w:t>
      </w:r>
      <w:r>
        <w:t xml:space="preserve"> </w:t>
      </w:r>
      <w:r w:rsidRPr="00AB1B48">
        <w:t>(Consejo Regional).</w:t>
      </w:r>
    </w:p>
    <w:p w14:paraId="6D93F660" w14:textId="77777777" w:rsidR="0007746F" w:rsidRDefault="0007746F" w:rsidP="00AB1B48">
      <w:pPr>
        <w:jc w:val="both"/>
      </w:pPr>
    </w:p>
    <w:p w14:paraId="304B5BAB" w14:textId="5B14DED2" w:rsidR="00AB1B48" w:rsidRDefault="00AB1B48" w:rsidP="00AB1B48">
      <w:pPr>
        <w:jc w:val="both"/>
      </w:pPr>
      <w:r w:rsidRPr="00AB1B48">
        <w:t>Respecto de los plebiscitos, la Constitución establece dos modalidades:</w:t>
      </w:r>
    </w:p>
    <w:p w14:paraId="18244018" w14:textId="77777777" w:rsidR="0007746F" w:rsidRDefault="0007746F" w:rsidP="00AB1B48">
      <w:pPr>
        <w:jc w:val="both"/>
      </w:pPr>
    </w:p>
    <w:p w14:paraId="3FB3BE2F" w14:textId="77777777" w:rsidR="0007746F" w:rsidRPr="00AB1B48" w:rsidRDefault="0007746F" w:rsidP="00AB1B48">
      <w:pPr>
        <w:jc w:val="both"/>
      </w:pPr>
    </w:p>
    <w:p w14:paraId="2DF66F25" w14:textId="6C23FF4C" w:rsidR="00AB1B48" w:rsidRPr="00AB1B48" w:rsidRDefault="00AB1B48" w:rsidP="00AB1B48">
      <w:pPr>
        <w:jc w:val="both"/>
      </w:pPr>
      <w:r w:rsidRPr="00AB1B48">
        <w:rPr>
          <w:b/>
        </w:rPr>
        <w:t>• Plebiscito constitucional:</w:t>
      </w:r>
      <w:r w:rsidRPr="00AB1B48">
        <w:t xml:space="preserve"> que constituy</w:t>
      </w:r>
      <w:r>
        <w:t xml:space="preserve">e una atribución del presidente </w:t>
      </w:r>
      <w:r w:rsidRPr="00AB1B48">
        <w:t>de la República para situaciones establecidas en el artículo 128: reforma</w:t>
      </w:r>
      <w:r>
        <w:t xml:space="preserve"> </w:t>
      </w:r>
      <w:r w:rsidRPr="00AB1B48">
        <w:t>constitucional en que no haya acuerdo entre el Congreso y el presidente</w:t>
      </w:r>
      <w:r>
        <w:t xml:space="preserve"> </w:t>
      </w:r>
      <w:r w:rsidRPr="00AB1B48">
        <w:t>sobre el contenido de una reforma. Es decir, el plebiscito se convoca</w:t>
      </w:r>
      <w:r>
        <w:t xml:space="preserve"> </w:t>
      </w:r>
      <w:r w:rsidRPr="00AB1B48">
        <w:t>para resolver una discrepancia entre el poder ejecutivo y el legislativo</w:t>
      </w:r>
      <w:r>
        <w:t xml:space="preserve"> </w:t>
      </w:r>
      <w:r w:rsidRPr="00AB1B48">
        <w:t>respecto del contenido de una reforma constitucional.</w:t>
      </w:r>
    </w:p>
    <w:p w14:paraId="7B9E3E6B" w14:textId="49547AC1" w:rsidR="00AB1B48" w:rsidRDefault="00AB1B48" w:rsidP="00AB1B48">
      <w:pPr>
        <w:jc w:val="both"/>
      </w:pPr>
      <w:r w:rsidRPr="00AB1B48">
        <w:rPr>
          <w:b/>
        </w:rPr>
        <w:t>• Plebiscito comunal:</w:t>
      </w:r>
      <w:r w:rsidRPr="00AB1B48">
        <w:t xml:space="preserve"> por su parte, el</w:t>
      </w:r>
      <w:r>
        <w:t xml:space="preserve"> artículo 99 de la Ley Orgánica </w:t>
      </w:r>
      <w:r w:rsidRPr="00AB1B48">
        <w:t xml:space="preserve">Constitucional de Municipalidades (Ley </w:t>
      </w:r>
      <w:proofErr w:type="spellStart"/>
      <w:r w:rsidRPr="00AB1B48">
        <w:t>Nº</w:t>
      </w:r>
      <w:proofErr w:type="spellEnd"/>
      <w:r w:rsidRPr="00AB1B48">
        <w:t xml:space="preserve"> 19 806 de 2002) establece</w:t>
      </w:r>
      <w:r>
        <w:t xml:space="preserve"> </w:t>
      </w:r>
      <w:r w:rsidRPr="00AB1B48">
        <w:t>la posibilidad de que el alcalde, con acuerdo del concejo municipal,</w:t>
      </w:r>
      <w:r>
        <w:t xml:space="preserve"> </w:t>
      </w:r>
      <w:r w:rsidRPr="00AB1B48">
        <w:t>o por iniciativa de los ciudadanos de la comuna (al menos el 10 % de</w:t>
      </w:r>
      <w:r>
        <w:t xml:space="preserve"> </w:t>
      </w:r>
      <w:r w:rsidRPr="00AB1B48">
        <w:t>los ciudadanos comunales), convoque a un plebiscito comunal. Esta</w:t>
      </w:r>
      <w:r>
        <w:t xml:space="preserve"> </w:t>
      </w:r>
      <w:r w:rsidRPr="00AB1B48">
        <w:t>consulta se debe realizar en torno a materias muy precisas: inversiones</w:t>
      </w:r>
      <w:r>
        <w:t xml:space="preserve"> </w:t>
      </w:r>
      <w:r w:rsidRPr="00AB1B48">
        <w:t>específicas de desarrollo comunal; aprobación o modificación del plan</w:t>
      </w:r>
      <w:r>
        <w:t xml:space="preserve"> </w:t>
      </w:r>
      <w:r w:rsidRPr="00AB1B48">
        <w:t>de desarrollo comunal; modificación del plan regulador, u otras de</w:t>
      </w:r>
      <w:r>
        <w:t xml:space="preserve"> </w:t>
      </w:r>
      <w:r w:rsidRPr="00AB1B48">
        <w:t>interés para la comunidad local. Para que este plebiscito sea vinculante</w:t>
      </w:r>
      <w:r>
        <w:t xml:space="preserve"> </w:t>
      </w:r>
      <w:r w:rsidRPr="00AB1B48">
        <w:t>y obligatorio de cumplir para las autoridades municipales, debe votar</w:t>
      </w:r>
      <w:r>
        <w:t xml:space="preserve"> </w:t>
      </w:r>
      <w:r w:rsidRPr="00AB1B48">
        <w:t>al menos el 50 % de los ciudadanos inscritos en la comuna.</w:t>
      </w:r>
    </w:p>
    <w:p w14:paraId="60B7472B" w14:textId="4F49D824" w:rsidR="0007746F" w:rsidRDefault="0007746F" w:rsidP="00AB1B48">
      <w:pPr>
        <w:jc w:val="both"/>
      </w:pPr>
    </w:p>
    <w:p w14:paraId="1DCDDA99" w14:textId="12A39BA1" w:rsidR="0007746F" w:rsidRDefault="0007746F" w:rsidP="0007746F">
      <w:pPr>
        <w:rPr>
          <w:rFonts w:eastAsia="Times New Roman"/>
        </w:rPr>
      </w:pPr>
      <w:r>
        <w:rPr>
          <w:rFonts w:eastAsia="Times New Roman"/>
          <w:noProof/>
        </w:rPr>
        <w:drawing>
          <wp:inline distT="0" distB="0" distL="0" distR="0" wp14:anchorId="323B08D0" wp14:editId="3CA4077C">
            <wp:extent cx="6300721" cy="3415665"/>
            <wp:effectExtent l="0" t="0" r="0" b="0"/>
            <wp:docPr id="14" name="Imagen 14" descr="lebiscito Constitucional 2020 – Una cobertura especial de Em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biscito Constitucional 2020 – Una cobertura especial de Emol.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8626" cy="3419951"/>
                    </a:xfrm>
                    <a:prstGeom prst="rect">
                      <a:avLst/>
                    </a:prstGeom>
                    <a:noFill/>
                    <a:ln>
                      <a:noFill/>
                    </a:ln>
                  </pic:spPr>
                </pic:pic>
              </a:graphicData>
            </a:graphic>
          </wp:inline>
        </w:drawing>
      </w:r>
    </w:p>
    <w:p w14:paraId="0A4BCF8F" w14:textId="6A83BFC8" w:rsidR="0007746F" w:rsidRPr="00D42175" w:rsidRDefault="0007746F" w:rsidP="00AB1B48">
      <w:pPr>
        <w:jc w:val="both"/>
      </w:pPr>
    </w:p>
    <w:sectPr w:rsidR="0007746F" w:rsidRPr="00D42175" w:rsidSect="000D64FF">
      <w:headerReference w:type="default" r:id="rId15"/>
      <w:footerReference w:type="even" r:id="rId16"/>
      <w:footerReference w:type="default" r:id="rId17"/>
      <w:pgSz w:w="12240" w:h="18720" w:code="14"/>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BA51A" w14:textId="77777777" w:rsidR="000036CD" w:rsidRDefault="000036CD" w:rsidP="000D64FF">
      <w:r>
        <w:separator/>
      </w:r>
    </w:p>
  </w:endnote>
  <w:endnote w:type="continuationSeparator" w:id="0">
    <w:p w14:paraId="1409C605" w14:textId="77777777" w:rsidR="000036CD" w:rsidRDefault="000036CD" w:rsidP="000D6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3000" w14:textId="77777777" w:rsidR="005057DB" w:rsidRDefault="005057DB"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18C8B3" w14:textId="77777777" w:rsidR="005057DB" w:rsidRDefault="005057DB" w:rsidP="005057D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4302C" w14:textId="77777777" w:rsidR="005057DB" w:rsidRDefault="005057DB"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61F9F">
      <w:rPr>
        <w:rStyle w:val="Nmerodepgina"/>
        <w:noProof/>
      </w:rPr>
      <w:t>1</w:t>
    </w:r>
    <w:r>
      <w:rPr>
        <w:rStyle w:val="Nmerodepgina"/>
      </w:rPr>
      <w:fldChar w:fldCharType="end"/>
    </w:r>
  </w:p>
  <w:p w14:paraId="3BA592F9" w14:textId="77777777" w:rsidR="005057DB" w:rsidRDefault="005057DB" w:rsidP="005057D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B2475" w14:textId="77777777" w:rsidR="000036CD" w:rsidRDefault="000036CD" w:rsidP="000D64FF">
      <w:r>
        <w:separator/>
      </w:r>
    </w:p>
  </w:footnote>
  <w:footnote w:type="continuationSeparator" w:id="0">
    <w:p w14:paraId="3C870B0A" w14:textId="77777777" w:rsidR="000036CD" w:rsidRDefault="000036CD" w:rsidP="000D6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8DFC7" w14:textId="77777777" w:rsidR="000D64FF" w:rsidRPr="00560634" w:rsidRDefault="000D64FF" w:rsidP="000D64FF">
    <w:pPr>
      <w:pStyle w:val="Encabezado"/>
      <w:rPr>
        <w:rFonts w:ascii="Times New Roman" w:hAnsi="Times New Roman" w:cs="Times New Roman"/>
      </w:rPr>
    </w:pPr>
    <w:r w:rsidRPr="00560634">
      <w:rPr>
        <w:rFonts w:ascii="Times New Roman" w:hAnsi="Times New Roman" w:cs="Times New Roman"/>
        <w:noProof/>
        <w:lang w:eastAsia="es-ES_tradnl"/>
      </w:rPr>
      <w:drawing>
        <wp:anchor distT="0" distB="0" distL="114300" distR="114300" simplePos="0" relativeHeight="251659264" behindDoc="0" locked="0" layoutInCell="1" allowOverlap="1" wp14:anchorId="7F5E2AE1" wp14:editId="5A9FEBA1">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_tradnl"/>
      </w:rPr>
      <w:drawing>
        <wp:anchor distT="0" distB="0" distL="114300" distR="114300" simplePos="0" relativeHeight="251660288" behindDoc="0" locked="0" layoutInCell="1" allowOverlap="1" wp14:anchorId="441F5CED" wp14:editId="023CB6FC">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3FBDA026" w14:textId="77777777" w:rsidR="000D64FF" w:rsidRPr="00560634" w:rsidRDefault="000D64FF" w:rsidP="000D64FF">
    <w:pPr>
      <w:pStyle w:val="Encabezad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68B596E3" w14:textId="77777777" w:rsidR="000D64FF" w:rsidRDefault="000D64FF" w:rsidP="000D64FF">
    <w:pPr>
      <w:pStyle w:val="Encabezado"/>
      <w:rPr>
        <w:rFonts w:ascii="Times New Roman" w:hAnsi="Times New Roman" w:cs="Times New Roman"/>
        <w:lang w:val="es-MX"/>
      </w:rPr>
    </w:pPr>
    <w:r w:rsidRPr="00560634">
      <w:rPr>
        <w:rFonts w:ascii="Times New Roman" w:hAnsi="Times New Roman" w:cs="Times New Roman"/>
        <w:lang w:val="es-MX"/>
      </w:rPr>
      <w:t>Docente: Marcelo Parraguez Álvarez</w:t>
    </w:r>
  </w:p>
  <w:p w14:paraId="196A6E70" w14:textId="77777777" w:rsidR="000D64FF" w:rsidRDefault="000D64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9561D2"/>
    <w:multiLevelType w:val="hybridMultilevel"/>
    <w:tmpl w:val="C576D41A"/>
    <w:lvl w:ilvl="0" w:tplc="A502CFF0">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7DC36F70"/>
    <w:multiLevelType w:val="hybridMultilevel"/>
    <w:tmpl w:val="0436F9FC"/>
    <w:lvl w:ilvl="0" w:tplc="0298BA80">
      <w:start w:val="1"/>
      <w:numFmt w:val="upperLetter"/>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4FF"/>
    <w:rsid w:val="000036CD"/>
    <w:rsid w:val="0007746F"/>
    <w:rsid w:val="000D64FF"/>
    <w:rsid w:val="00255CD0"/>
    <w:rsid w:val="002F5D55"/>
    <w:rsid w:val="003F677A"/>
    <w:rsid w:val="005057DB"/>
    <w:rsid w:val="00624599"/>
    <w:rsid w:val="00AB1B48"/>
    <w:rsid w:val="00D42175"/>
    <w:rsid w:val="00E61F9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48E9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48"/>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4FF"/>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D64FF"/>
  </w:style>
  <w:style w:type="paragraph" w:styleId="Piedepgina">
    <w:name w:val="footer"/>
    <w:basedOn w:val="Normal"/>
    <w:link w:val="PiedepginaCar"/>
    <w:uiPriority w:val="99"/>
    <w:unhideWhenUsed/>
    <w:rsid w:val="000D64FF"/>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D64FF"/>
  </w:style>
  <w:style w:type="character" w:styleId="Hipervnculo">
    <w:name w:val="Hyperlink"/>
    <w:basedOn w:val="Fuentedeprrafopredeter"/>
    <w:uiPriority w:val="99"/>
    <w:unhideWhenUsed/>
    <w:rsid w:val="000D64FF"/>
    <w:rPr>
      <w:color w:val="0563C1" w:themeColor="hyperlink"/>
      <w:u w:val="single"/>
    </w:rPr>
  </w:style>
  <w:style w:type="paragraph" w:customStyle="1" w:styleId="Default">
    <w:name w:val="Default"/>
    <w:rsid w:val="000D64FF"/>
    <w:pPr>
      <w:widowControl w:val="0"/>
      <w:autoSpaceDE w:val="0"/>
      <w:autoSpaceDN w:val="0"/>
      <w:adjustRightInd w:val="0"/>
    </w:pPr>
    <w:rPr>
      <w:rFonts w:ascii="Calibri" w:hAnsi="Calibri" w:cs="Calibri"/>
      <w:color w:val="000000"/>
    </w:rPr>
  </w:style>
  <w:style w:type="paragraph" w:styleId="Prrafodelista">
    <w:name w:val="List Paragraph"/>
    <w:basedOn w:val="Normal"/>
    <w:uiPriority w:val="34"/>
    <w:qFormat/>
    <w:rsid w:val="003F677A"/>
    <w:pPr>
      <w:spacing w:after="160" w:line="259" w:lineRule="auto"/>
      <w:ind w:left="720"/>
      <w:contextualSpacing/>
    </w:pPr>
    <w:rPr>
      <w:rFonts w:asciiTheme="minorHAnsi" w:hAnsiTheme="minorHAnsi" w:cstheme="minorBidi"/>
      <w:sz w:val="22"/>
      <w:szCs w:val="22"/>
      <w:lang w:val="es-CL" w:eastAsia="en-US"/>
    </w:rPr>
  </w:style>
  <w:style w:type="character" w:styleId="Nmerodepgina">
    <w:name w:val="page number"/>
    <w:basedOn w:val="Fuentedeprrafopredeter"/>
    <w:uiPriority w:val="99"/>
    <w:semiHidden/>
    <w:unhideWhenUsed/>
    <w:rsid w:val="00505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021446">
      <w:bodyDiv w:val="1"/>
      <w:marLeft w:val="0"/>
      <w:marRight w:val="0"/>
      <w:marTop w:val="0"/>
      <w:marBottom w:val="0"/>
      <w:divBdr>
        <w:top w:val="none" w:sz="0" w:space="0" w:color="auto"/>
        <w:left w:val="none" w:sz="0" w:space="0" w:color="auto"/>
        <w:bottom w:val="none" w:sz="0" w:space="0" w:color="auto"/>
        <w:right w:val="none" w:sz="0" w:space="0" w:color="auto"/>
      </w:divBdr>
    </w:div>
    <w:div w:id="1437601146">
      <w:bodyDiv w:val="1"/>
      <w:marLeft w:val="0"/>
      <w:marRight w:val="0"/>
      <w:marTop w:val="0"/>
      <w:marBottom w:val="0"/>
      <w:divBdr>
        <w:top w:val="none" w:sz="0" w:space="0" w:color="auto"/>
        <w:left w:val="none" w:sz="0" w:space="0" w:color="auto"/>
        <w:bottom w:val="none" w:sz="0" w:space="0" w:color="auto"/>
        <w:right w:val="none" w:sz="0" w:space="0" w:color="auto"/>
      </w:divBdr>
    </w:div>
    <w:div w:id="1514565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parraguez@sanfernandocollege.cl" TargetMode="Externa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758</Words>
  <Characters>4170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María Belen Cofré Osorio</cp:lastModifiedBy>
  <cp:revision>4</cp:revision>
  <dcterms:created xsi:type="dcterms:W3CDTF">2020-10-05T02:29:00Z</dcterms:created>
  <dcterms:modified xsi:type="dcterms:W3CDTF">2020-10-05T20:01:00Z</dcterms:modified>
</cp:coreProperties>
</file>