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2B9FA" w14:textId="0104C316" w:rsidR="00F02CE8" w:rsidRPr="00560634" w:rsidRDefault="00152FCE" w:rsidP="00F0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4</w:t>
      </w:r>
      <w:r w:rsidR="00F02CE8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="00F02CE8"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</w:t>
      </w:r>
      <w:r w:rsidR="00F02CE8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HISTORIA, GEOGRAFÍA Y CIENCIAS SOCIALES</w:t>
      </w:r>
    </w:p>
    <w:p w14:paraId="08B57567" w14:textId="08CBEFF4" w:rsidR="00F02CE8" w:rsidRPr="00560634" w:rsidRDefault="00F02CE8" w:rsidP="00F02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6"/>
        <w:gridCol w:w="5043"/>
      </w:tblGrid>
      <w:tr w:rsidR="00F02CE8" w:rsidRPr="00101B83" w14:paraId="1CBFE3E7" w14:textId="77777777" w:rsidTr="00521D9E">
        <w:trPr>
          <w:trHeight w:val="171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3465B222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3C6F814B" w14:textId="7EF63747" w:rsidR="00F02CE8" w:rsidRPr="000331D6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Semana de trabajo</w:t>
            </w:r>
          </w:p>
        </w:tc>
      </w:tr>
      <w:tr w:rsidR="00F02CE8" w:rsidRPr="00101B83" w14:paraId="4A5C843B" w14:textId="77777777" w:rsidTr="00521D9E">
        <w:trPr>
          <w:trHeight w:val="296"/>
          <w:jc w:val="center"/>
        </w:trPr>
        <w:tc>
          <w:tcPr>
            <w:tcW w:w="2676" w:type="pct"/>
            <w:tcBorders>
              <w:bottom w:val="single" w:sz="4" w:space="0" w:color="auto"/>
            </w:tcBorders>
            <w:vAlign w:val="center"/>
          </w:tcPr>
          <w:p w14:paraId="0896DD9A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2</w:t>
            </w: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º Medio D-E-F</w:t>
            </w:r>
          </w:p>
        </w:tc>
        <w:tc>
          <w:tcPr>
            <w:tcW w:w="2324" w:type="pct"/>
            <w:tcBorders>
              <w:bottom w:val="single" w:sz="4" w:space="0" w:color="auto"/>
            </w:tcBorders>
            <w:vAlign w:val="center"/>
          </w:tcPr>
          <w:p w14:paraId="1EC017C4" w14:textId="50A46F5E" w:rsidR="00F02CE8" w:rsidRPr="00101B83" w:rsidRDefault="00152FCE" w:rsidP="00521D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Desde el </w:t>
            </w:r>
            <w:r w:rsidR="00F55598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al 11 </w:t>
            </w:r>
            <w:r w:rsidR="00F02CE8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de </w:t>
            </w:r>
            <w:r w:rsidR="00F55598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Septiembre</w:t>
            </w:r>
          </w:p>
        </w:tc>
      </w:tr>
      <w:tr w:rsidR="00F02CE8" w:rsidRPr="00101B83" w14:paraId="6ECF9D07" w14:textId="77777777" w:rsidTr="00521D9E">
        <w:trPr>
          <w:trHeight w:val="87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5A49B6F4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Priorizado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58FCA194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</w:tr>
      <w:tr w:rsidR="00F02CE8" w:rsidRPr="00101B83" w14:paraId="62C30CBA" w14:textId="77777777" w:rsidTr="00521D9E">
        <w:trPr>
          <w:trHeight w:val="795"/>
          <w:jc w:val="center"/>
        </w:trPr>
        <w:tc>
          <w:tcPr>
            <w:tcW w:w="2676" w:type="pct"/>
            <w:vAlign w:val="center"/>
          </w:tcPr>
          <w:p w14:paraId="2DC815D2" w14:textId="377A967F" w:rsidR="00F02CE8" w:rsidRPr="00200167" w:rsidRDefault="00F55598" w:rsidP="00200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F5559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s-ES_tradnl" w:eastAsia="es-ES_tradnl"/>
              </w:rPr>
              <w:t>OA 12:</w:t>
            </w:r>
            <w:r w:rsidRPr="00F555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_tradnl" w:eastAsia="es-ES_tradnl"/>
              </w:rPr>
              <w:t xml:space="preserve"> Caracterizar la extendida pobreza y precariedad de la sociedad chilena de mediados del siglo XX (magros indicadores sociodemográficos, bajo poder adquisitivo y de acceso al crédito, desnutrición y marginalidad), y evaluar el impacto que generó en esta sociedad la migración del campo a la ciudad (por ejemplo, el progresivo crecimiento de la población urbana, la segregación urbana, la escasez de viviendas, entre otros).</w:t>
            </w:r>
          </w:p>
        </w:tc>
        <w:tc>
          <w:tcPr>
            <w:tcW w:w="2324" w:type="pct"/>
            <w:vAlign w:val="center"/>
          </w:tcPr>
          <w:p w14:paraId="6FF9F1ED" w14:textId="258BCE59" w:rsidR="00F02CE8" w:rsidRPr="00101B83" w:rsidRDefault="00F02CE8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</w:tr>
      <w:tr w:rsidR="00F02CE8" w:rsidRPr="00101B83" w14:paraId="1B5571AB" w14:textId="77777777" w:rsidTr="00F55598">
        <w:trPr>
          <w:trHeight w:val="310"/>
          <w:jc w:val="center"/>
        </w:trPr>
        <w:tc>
          <w:tcPr>
            <w:tcW w:w="2676" w:type="pct"/>
            <w:shd w:val="clear" w:color="auto" w:fill="F2F2F2" w:themeFill="background1" w:themeFillShade="F2"/>
            <w:vAlign w:val="center"/>
          </w:tcPr>
          <w:p w14:paraId="6FCC30AE" w14:textId="77777777" w:rsidR="00F02CE8" w:rsidRPr="00101B83" w:rsidRDefault="00F02CE8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</w:t>
            </w:r>
          </w:p>
        </w:tc>
        <w:tc>
          <w:tcPr>
            <w:tcW w:w="2324" w:type="pct"/>
            <w:shd w:val="clear" w:color="auto" w:fill="F2F2F2" w:themeFill="background1" w:themeFillShade="F2"/>
            <w:vAlign w:val="center"/>
          </w:tcPr>
          <w:p w14:paraId="07747FBF" w14:textId="03108FF2" w:rsidR="00F02CE8" w:rsidRPr="00101B83" w:rsidRDefault="00F02CE8" w:rsidP="005B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  <w:r w:rsidR="00F555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 </w:t>
            </w:r>
          </w:p>
        </w:tc>
      </w:tr>
      <w:tr w:rsidR="00F02CE8" w:rsidRPr="00101B83" w14:paraId="6B62A58F" w14:textId="77777777" w:rsidTr="00521D9E">
        <w:trPr>
          <w:trHeight w:val="274"/>
          <w:jc w:val="center"/>
        </w:trPr>
        <w:tc>
          <w:tcPr>
            <w:tcW w:w="2676" w:type="pct"/>
            <w:vAlign w:val="center"/>
          </w:tcPr>
          <w:p w14:paraId="37F67833" w14:textId="2E616F14" w:rsidR="00F02CE8" w:rsidRPr="00152FCE" w:rsidRDefault="00152FCE" w:rsidP="00F5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E171A"/>
                <w:sz w:val="24"/>
                <w:szCs w:val="24"/>
                <w:lang w:val="es-ES_tradnl"/>
              </w:rPr>
            </w:pPr>
            <w:r w:rsidRPr="00152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  <w:t>Los proyectos excluyentes y las reformas estructurales</w:t>
            </w:r>
          </w:p>
        </w:tc>
        <w:tc>
          <w:tcPr>
            <w:tcW w:w="2324" w:type="pct"/>
            <w:vAlign w:val="center"/>
          </w:tcPr>
          <w:p w14:paraId="056E1685" w14:textId="77777777" w:rsidR="00F02CE8" w:rsidRPr="00101B83" w:rsidRDefault="00A73A09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="00F02CE8" w:rsidRPr="00101B83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="00F02CE8"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</w:tr>
    </w:tbl>
    <w:p w14:paraId="4DDA1F03" w14:textId="6CA37E06" w:rsidR="00660CDF" w:rsidRDefault="00660CDF" w:rsidP="009505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14:paraId="3ECDEDCD" w14:textId="69A672A6" w:rsidR="00152FCE" w:rsidRPr="00152FCE" w:rsidRDefault="00152FCE" w:rsidP="00152FCE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  <w:r w:rsidRPr="00152FCE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LOS PROYECTOS EXCLUYENTES</w:t>
      </w:r>
    </w:p>
    <w:p w14:paraId="5D04FDBD" w14:textId="1C1755A1" w:rsidR="00152FCE" w:rsidRDefault="00F5316D" w:rsidP="00152F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s-ES_tradnl"/>
        </w:rPr>
      </w:pPr>
      <w:r w:rsidRPr="00FB2EF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6432" behindDoc="0" locked="0" layoutInCell="1" allowOverlap="1" wp14:anchorId="3AA005ED" wp14:editId="240649D7">
            <wp:simplePos x="0" y="0"/>
            <wp:positionH relativeFrom="column">
              <wp:posOffset>4471035</wp:posOffset>
            </wp:positionH>
            <wp:positionV relativeFrom="paragraph">
              <wp:posOffset>129540</wp:posOffset>
            </wp:positionV>
            <wp:extent cx="1824990" cy="2099310"/>
            <wp:effectExtent l="0" t="0" r="3810" b="8890"/>
            <wp:wrapTight wrapText="bothSides">
              <wp:wrapPolygon edited="0">
                <wp:start x="0" y="0"/>
                <wp:lineTo x="0" y="21430"/>
                <wp:lineTo x="21344" y="21430"/>
                <wp:lineTo x="21344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1"/>
                    <a:stretch/>
                  </pic:blipFill>
                  <pic:spPr bwMode="auto">
                    <a:xfrm>
                      <a:off x="0" y="0"/>
                      <a:ext cx="1824990" cy="209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E83C4" w14:textId="1A251806" w:rsidR="00152FCE" w:rsidRPr="00152FCE" w:rsidRDefault="00152FCE" w:rsidP="00152F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Lograr el cambio social representó la gran utopía de la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década de 1960. El carácter excluyente de cada uno de estos proyectos determinaba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la implementación de uno de ellos suponía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supresión de los dos restantes. Esto finalmente llevó a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una polarización política, en la que cada sector buscaba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aplicar su propio modelo para cambiar la sociedad chilena.</w:t>
      </w:r>
      <w:r w:rsidRPr="00152F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</w:p>
    <w:p w14:paraId="7251A66E" w14:textId="677169C0" w:rsidR="00152FCE" w:rsidRPr="00152FCE" w:rsidRDefault="00152FCE" w:rsidP="00152F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04686E52" w14:textId="11E4A67A" w:rsidR="00152FCE" w:rsidRDefault="00F5316D" w:rsidP="006950CF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F5316D">
        <w:rPr>
          <w:rFonts w:ascii="Times New Roman" w:hAnsi="Times New Roman" w:cs="Times New Roman"/>
          <w:color w:val="CE171A"/>
          <w:sz w:val="24"/>
          <w:szCs w:val="24"/>
          <w:lang w:val="es-ES_tradnl"/>
        </w:rPr>
        <w:drawing>
          <wp:anchor distT="0" distB="0" distL="114300" distR="114300" simplePos="0" relativeHeight="251663360" behindDoc="0" locked="0" layoutInCell="1" allowOverlap="1" wp14:anchorId="02BE7277" wp14:editId="326D7DBC">
            <wp:simplePos x="0" y="0"/>
            <wp:positionH relativeFrom="column">
              <wp:posOffset>4471035</wp:posOffset>
            </wp:positionH>
            <wp:positionV relativeFrom="paragraph">
              <wp:posOffset>1028700</wp:posOffset>
            </wp:positionV>
            <wp:extent cx="1824990" cy="1972310"/>
            <wp:effectExtent l="0" t="0" r="3810" b="8890"/>
            <wp:wrapTight wrapText="bothSides">
              <wp:wrapPolygon edited="0">
                <wp:start x="0" y="0"/>
                <wp:lineTo x="0" y="21419"/>
                <wp:lineTo x="21344" y="21419"/>
                <wp:lineTo x="2134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6" b="17812"/>
                    <a:stretch/>
                  </pic:blipFill>
                  <pic:spPr bwMode="auto">
                    <a:xfrm>
                      <a:off x="0" y="0"/>
                      <a:ext cx="1824990" cy="197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FCE" w:rsidRPr="006950CF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El proyecto de la derecha.</w:t>
      </w:r>
      <w:r w:rsidR="00152FCE" w:rsidRPr="006950CF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Este proyecto fue el que se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impulsó durante el gobierno de Jorge Alessandri (1958-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1964). La idea de reforma impulsada por el sector que lo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apoyó partía de la base de que era necesario un cambio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profundo para terminar con un modelo estancado que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 había revelado incapaz de guiar al país sólidamente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hacia el desarrollo. Por esto, su principal consigna fue la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modernización de la economía, lo que implicaba acotar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presencia estatal y reforzar la empresa privada, entre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2FCE"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otras medidas.</w:t>
      </w:r>
    </w:p>
    <w:p w14:paraId="0D43113E" w14:textId="3B8C56A4" w:rsidR="00152FCE" w:rsidRPr="00152FCE" w:rsidRDefault="00152FCE" w:rsidP="00152F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</w:p>
    <w:p w14:paraId="4561305B" w14:textId="43DC1521" w:rsidR="00152FCE" w:rsidRPr="006950CF" w:rsidRDefault="00152FCE" w:rsidP="006950CF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6950CF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“revolución en libertad”.</w:t>
      </w:r>
      <w:r w:rsidRPr="006950CF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programa que la Democracia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Cristiana buscó implementar desde el gobierno de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Eduardo Frei Montalva (1964-1970) planteaba que el Estado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continuara ocupando un papel central en la economía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nacional y que, además, asumiera la tarea de ampliar la democracia.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Para ello, desarrolló una reforma educativa, amplió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derecho a la organización sindical a los trabajadores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rurales y multiplicó instancias de asociación de base, como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juntas de vecinos y centros de madres, lo que fue conocido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como el Programa de Promoción Popular.</w:t>
      </w:r>
    </w:p>
    <w:p w14:paraId="2D0077D6" w14:textId="6D236A47" w:rsidR="006950CF" w:rsidRPr="00152FCE" w:rsidRDefault="00F5316D" w:rsidP="00152F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  <w:r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4384" behindDoc="0" locked="0" layoutInCell="1" allowOverlap="1" wp14:anchorId="65876C45" wp14:editId="7CA0DBD0">
            <wp:simplePos x="0" y="0"/>
            <wp:positionH relativeFrom="column">
              <wp:posOffset>4478020</wp:posOffset>
            </wp:positionH>
            <wp:positionV relativeFrom="paragraph">
              <wp:posOffset>47625</wp:posOffset>
            </wp:positionV>
            <wp:extent cx="1824990" cy="2398395"/>
            <wp:effectExtent l="0" t="0" r="3810" b="0"/>
            <wp:wrapTight wrapText="bothSides">
              <wp:wrapPolygon edited="0">
                <wp:start x="0" y="0"/>
                <wp:lineTo x="0" y="21274"/>
                <wp:lineTo x="21344" y="21274"/>
                <wp:lineTo x="21344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97DD4" w14:textId="0ABDA82C" w:rsidR="00352FC6" w:rsidRDefault="00152FCE" w:rsidP="006950CF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6950CF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“vía chilena al socialismo”.</w:t>
      </w:r>
      <w:r w:rsidRPr="006950CF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Esta propuesta fue impulsada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por la Unidad Popular, una coalición de partidos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izquierda conformada en 1969, y se llevó a cabo durante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gobierno de Salvador Allende Gossens (1970-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1973). Proponía realizar una “revolución con empanadas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y vino tinto”, es decir, una revolución socialista, pero a la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chilena, que implicaba la opción de participación en elecciones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democráticas. Para lograrlo, pretendía profundizar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medidas que ya habían sido iniciadas en el gobierno de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Frei Montalva, como las expropiaciones agrícolas y la chilenización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cobre, además de aplicar cambios como la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creación de un área de propiedad social, la estatización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industrias estratégicas y del sistema financiero, y fomentar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6950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participación de los sectores populares.</w:t>
      </w:r>
    </w:p>
    <w:p w14:paraId="06022A55" w14:textId="5A7B6D13" w:rsidR="006950CF" w:rsidRDefault="006950CF" w:rsidP="006950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156EDF9F" w14:textId="5B6259D9" w:rsidR="006950CF" w:rsidRDefault="006950CF" w:rsidP="006950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51E26E42" w14:textId="397C5A39" w:rsidR="006950CF" w:rsidRPr="00FB2EF1" w:rsidRDefault="006950CF" w:rsidP="00FB2EF1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</w:pPr>
      <w:r w:rsidRPr="00FB2EF1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LAS REFORMAS ESTRUCTURALES</w:t>
      </w:r>
    </w:p>
    <w:p w14:paraId="1A15C334" w14:textId="5D51D4AF" w:rsidR="006950CF" w:rsidRPr="00FB2EF1" w:rsidRDefault="006950CF" w:rsidP="00FB2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</w:p>
    <w:p w14:paraId="59858AE9" w14:textId="74ECB96F" w:rsidR="006950CF" w:rsidRPr="00F5316D" w:rsidRDefault="00F5316D" w:rsidP="00F5316D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F5316D">
        <w:rPr>
          <w:lang w:val="es-ES_tradnl"/>
        </w:rPr>
        <w:drawing>
          <wp:anchor distT="0" distB="0" distL="114300" distR="114300" simplePos="0" relativeHeight="251667456" behindDoc="0" locked="0" layoutInCell="1" allowOverlap="1" wp14:anchorId="7FBCD765" wp14:editId="70BA11F3">
            <wp:simplePos x="0" y="0"/>
            <wp:positionH relativeFrom="column">
              <wp:posOffset>2874645</wp:posOffset>
            </wp:positionH>
            <wp:positionV relativeFrom="paragraph">
              <wp:posOffset>28575</wp:posOffset>
            </wp:positionV>
            <wp:extent cx="3449320" cy="2402840"/>
            <wp:effectExtent l="0" t="0" r="5080" b="10160"/>
            <wp:wrapTight wrapText="bothSides">
              <wp:wrapPolygon edited="0">
                <wp:start x="0" y="0"/>
                <wp:lineTo x="0" y="21463"/>
                <wp:lineTo x="21473" y="21463"/>
                <wp:lineTo x="21473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CF" w:rsidRPr="00F5316D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reforma agraria.</w:t>
      </w:r>
      <w:r w:rsidR="006950CF" w:rsidRPr="00F5316D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Durante el siglo XX, una serie de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factores provocaron que el campo chileno fuese considerado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como una carga para el crecimiento, fundamentalmente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por la estructura de la propiedad agrícola.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1925, por ejemplo, menos de 10 000 propietarios eran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dueños de más del 90 % de la tierra, en tanto que casi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100 000 pequeños y medianos propietarios explotaban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poco más del 9 %. Junto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con inhibir la inversión en el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campo,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esta estructura de gran latifundio obstaculizó la incorporación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tecnología en los predios rurales y generó cada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vez menos trabajo, forzando a sus habitantes a migrar a las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ciudades. Como estrategia para superar estas deficiencias,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desde inicios de la década de 1960 se implementaron distintos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programas de reforma agraria, que buscaban transformar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estructura de propiedad, creando unidades económicas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agrícolas más productivas que el gran latifundio.</w:t>
      </w:r>
    </w:p>
    <w:p w14:paraId="421DBF09" w14:textId="7027BA4F" w:rsidR="00F5316D" w:rsidRPr="00FB2EF1" w:rsidRDefault="00F5316D" w:rsidP="00FB2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572DFB7D" w14:textId="3207EEC4" w:rsidR="006950CF" w:rsidRPr="00863CC1" w:rsidRDefault="00863CC1" w:rsidP="006751B3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  <w:r w:rsidRPr="00863CC1">
        <w:rPr>
          <w:rFonts w:ascii="Times New Roman" w:hAnsi="Times New Roman" w:cs="Times New Roman"/>
          <w:color w:val="CE171A"/>
          <w:sz w:val="24"/>
          <w:szCs w:val="24"/>
          <w:lang w:val="es-ES_tradnl"/>
        </w:rPr>
        <w:drawing>
          <wp:anchor distT="0" distB="0" distL="114300" distR="114300" simplePos="0" relativeHeight="251668480" behindDoc="0" locked="0" layoutInCell="1" allowOverlap="1" wp14:anchorId="21B606CF" wp14:editId="712D1D4A">
            <wp:simplePos x="0" y="0"/>
            <wp:positionH relativeFrom="column">
              <wp:posOffset>4249420</wp:posOffset>
            </wp:positionH>
            <wp:positionV relativeFrom="paragraph">
              <wp:posOffset>17780</wp:posOffset>
            </wp:positionV>
            <wp:extent cx="2077085" cy="2741295"/>
            <wp:effectExtent l="0" t="0" r="5715" b="1905"/>
            <wp:wrapTight wrapText="bothSides">
              <wp:wrapPolygon edited="0">
                <wp:start x="0" y="0"/>
                <wp:lineTo x="0" y="21415"/>
                <wp:lineTo x="21395" y="21415"/>
                <wp:lineTo x="21395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CF" w:rsidRPr="00863CC1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chilenización del cobre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 Junto con la transformación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estructural emprendida en el campo, se llevaron a cabo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cambios en la propiedad de la gran minería del cobre, que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estaba en manos de compañías estadounidenses. Las ganancias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Estado asociadas a la minería del cobre provenían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los impuestos que las compañías estadounidenses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pagaban por la exportación del mineral y gran parte de los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ingresos fiscales dependían de la exportación de esta materia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prima. Este escenario llevó al gobierno de Frei Montalva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iniciar el proceso de chilenización del cobre, que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consistió en negociar la propiedad de los yacimientos, con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finalidad de reservar para el Estado chileno el 51 % de las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acciones. En 1967 se concretó la compra de las acciones de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Teniente en 80 millones de dólares. Después, en 1969,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 compró el 51 % de Chuquicamata y El Salvador en 180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millones de dólares. Posteriormente, durante el gobierno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Allende, este proceso se profundizará mediante la nacionalización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863CC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cobre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</w:p>
    <w:p w14:paraId="72D011CE" w14:textId="48EAD345" w:rsidR="00863CC1" w:rsidRPr="00863CC1" w:rsidRDefault="00863CC1" w:rsidP="00863C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E171A"/>
          <w:sz w:val="24"/>
          <w:szCs w:val="24"/>
          <w:lang w:val="es-ES_tradnl"/>
        </w:rPr>
      </w:pPr>
    </w:p>
    <w:p w14:paraId="74AB4707" w14:textId="73B7EA56" w:rsidR="006950CF" w:rsidRDefault="00863CC1" w:rsidP="00F5316D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863CC1">
        <w:rPr>
          <w:rFonts w:ascii="Times New Roman" w:hAnsi="Times New Roman" w:cs="Times New Roman"/>
          <w:sz w:val="24"/>
          <w:szCs w:val="24"/>
          <w:lang w:val="es-ES_tradnl"/>
        </w:rPr>
        <w:drawing>
          <wp:anchor distT="0" distB="0" distL="114300" distR="114300" simplePos="0" relativeHeight="251669504" behindDoc="0" locked="0" layoutInCell="1" allowOverlap="1" wp14:anchorId="1E302248" wp14:editId="35F7B625">
            <wp:simplePos x="0" y="0"/>
            <wp:positionH relativeFrom="column">
              <wp:posOffset>3103245</wp:posOffset>
            </wp:positionH>
            <wp:positionV relativeFrom="paragraph">
              <wp:posOffset>63500</wp:posOffset>
            </wp:positionV>
            <wp:extent cx="3104515" cy="2185670"/>
            <wp:effectExtent l="0" t="0" r="0" b="0"/>
            <wp:wrapTight wrapText="bothSides">
              <wp:wrapPolygon edited="0">
                <wp:start x="0" y="0"/>
                <wp:lineTo x="0" y="21336"/>
                <wp:lineTo x="21384" y="21336"/>
                <wp:lineTo x="2138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CF" w:rsidRPr="00F5316D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La reforma educacional.</w:t>
      </w:r>
      <w:r w:rsidR="006950CF" w:rsidRPr="00F5316D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1965, el gobierno de Frei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Montalva inició una reforma educacional orientada a mejorar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calidad de la enseñanza. Para ello, se reformaron los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planes de estudio, se perfeccionó a los docentes y se mejoró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infraestructura educacional. También se modificó la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organización del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sistema escolar al definir una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educación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básica obligatoria de ocho años y una media de cuatro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años, que podía orientarse a la preparación para la educación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superior (modalidad científico-humanista) o a la formación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950CF" w:rsidRPr="00F5316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técnico-profesional.</w:t>
      </w:r>
    </w:p>
    <w:p w14:paraId="6978A871" w14:textId="582BF12F" w:rsidR="00863CC1" w:rsidRPr="00863CC1" w:rsidRDefault="00863CC1" w:rsidP="00863C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bookmarkStart w:id="0" w:name="_GoBack"/>
      <w:bookmarkEnd w:id="0"/>
    </w:p>
    <w:sectPr w:rsidR="00863CC1" w:rsidRPr="00863CC1" w:rsidSect="00F02CE8">
      <w:headerReference w:type="default" r:id="rId14"/>
      <w:footerReference w:type="even" r:id="rId15"/>
      <w:footerReference w:type="default" r:id="rId16"/>
      <w:pgSz w:w="12240" w:h="18720" w:code="14"/>
      <w:pgMar w:top="1134" w:right="1134" w:bottom="1134" w:left="1134" w:header="5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2571D" w14:textId="77777777" w:rsidR="00A73A09" w:rsidRDefault="00A73A09" w:rsidP="00F02CE8">
      <w:pPr>
        <w:spacing w:after="0" w:line="240" w:lineRule="auto"/>
      </w:pPr>
      <w:r>
        <w:separator/>
      </w:r>
    </w:p>
  </w:endnote>
  <w:endnote w:type="continuationSeparator" w:id="0">
    <w:p w14:paraId="05F64711" w14:textId="77777777" w:rsidR="00A73A09" w:rsidRDefault="00A73A09" w:rsidP="00F02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0010A" w14:textId="77777777" w:rsidR="00063F93" w:rsidRDefault="00063F93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5C98A6B" w14:textId="77777777" w:rsidR="00063F93" w:rsidRDefault="00063F93" w:rsidP="00063F9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22939" w14:textId="77777777" w:rsidR="00063F93" w:rsidRDefault="00063F93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73A0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9F25921" w14:textId="77777777" w:rsidR="00063F93" w:rsidRDefault="00063F93" w:rsidP="00063F9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BAC02B" w14:textId="77777777" w:rsidR="00A73A09" w:rsidRDefault="00A73A09" w:rsidP="00F02CE8">
      <w:pPr>
        <w:spacing w:after="0" w:line="240" w:lineRule="auto"/>
      </w:pPr>
      <w:r>
        <w:separator/>
      </w:r>
    </w:p>
  </w:footnote>
  <w:footnote w:type="continuationSeparator" w:id="0">
    <w:p w14:paraId="7553B132" w14:textId="77777777" w:rsidR="00A73A09" w:rsidRDefault="00A73A09" w:rsidP="00F02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A774A" w14:textId="77777777" w:rsidR="00F02CE8" w:rsidRPr="00560634" w:rsidRDefault="00F02CE8" w:rsidP="00F02CE8">
    <w:pPr>
      <w:pStyle w:val="Encabezad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122D159D" wp14:editId="66A2D36B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0F95903B" wp14:editId="77CAF189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0E5F10C0" w14:textId="77777777" w:rsidR="00F02CE8" w:rsidRPr="00560634" w:rsidRDefault="00F02CE8" w:rsidP="00F02CE8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7012586F" w14:textId="77777777" w:rsidR="00F02CE8" w:rsidRDefault="00F02CE8" w:rsidP="00F02CE8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0AD78D7E" w14:textId="77777777" w:rsidR="00F02CE8" w:rsidRDefault="00F02CE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F1751"/>
    <w:multiLevelType w:val="hybridMultilevel"/>
    <w:tmpl w:val="816438B6"/>
    <w:lvl w:ilvl="0" w:tplc="4738C67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E7652C"/>
    <w:multiLevelType w:val="hybridMultilevel"/>
    <w:tmpl w:val="3A9CD8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84640"/>
    <w:multiLevelType w:val="hybridMultilevel"/>
    <w:tmpl w:val="788026C2"/>
    <w:lvl w:ilvl="0" w:tplc="57B6634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0EA425A"/>
    <w:multiLevelType w:val="hybridMultilevel"/>
    <w:tmpl w:val="5AC464E0"/>
    <w:lvl w:ilvl="0" w:tplc="57B66346">
      <w:start w:val="1"/>
      <w:numFmt w:val="upperLetter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F612584"/>
    <w:multiLevelType w:val="hybridMultilevel"/>
    <w:tmpl w:val="B96ABE30"/>
    <w:lvl w:ilvl="0" w:tplc="A6323CE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E8"/>
    <w:rsid w:val="00063F93"/>
    <w:rsid w:val="00152FCE"/>
    <w:rsid w:val="00200167"/>
    <w:rsid w:val="00311BD6"/>
    <w:rsid w:val="00352FC6"/>
    <w:rsid w:val="003D7943"/>
    <w:rsid w:val="005B4F64"/>
    <w:rsid w:val="006015AB"/>
    <w:rsid w:val="00624599"/>
    <w:rsid w:val="00660CDF"/>
    <w:rsid w:val="00682AD0"/>
    <w:rsid w:val="006950CF"/>
    <w:rsid w:val="007D13B5"/>
    <w:rsid w:val="007E5F65"/>
    <w:rsid w:val="007F78E4"/>
    <w:rsid w:val="007F7E67"/>
    <w:rsid w:val="00863CC1"/>
    <w:rsid w:val="008A0CB4"/>
    <w:rsid w:val="00950505"/>
    <w:rsid w:val="00A449C3"/>
    <w:rsid w:val="00A73A09"/>
    <w:rsid w:val="00A9291C"/>
    <w:rsid w:val="00B51DE4"/>
    <w:rsid w:val="00D0495E"/>
    <w:rsid w:val="00F02CE8"/>
    <w:rsid w:val="00F5316D"/>
    <w:rsid w:val="00F55598"/>
    <w:rsid w:val="00FB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A107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CE8"/>
    <w:pPr>
      <w:spacing w:after="160" w:line="259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E8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F02CE8"/>
  </w:style>
  <w:style w:type="paragraph" w:styleId="Piedepgina">
    <w:name w:val="footer"/>
    <w:basedOn w:val="Normal"/>
    <w:link w:val="PiedepginaCar"/>
    <w:uiPriority w:val="99"/>
    <w:unhideWhenUsed/>
    <w:rsid w:val="00F02CE8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2CE8"/>
  </w:style>
  <w:style w:type="character" w:styleId="Hipervnculo">
    <w:name w:val="Hyperlink"/>
    <w:basedOn w:val="Fuentedeprrafopredeter"/>
    <w:uiPriority w:val="99"/>
    <w:unhideWhenUsed/>
    <w:rsid w:val="00F02CE8"/>
    <w:rPr>
      <w:color w:val="0563C1" w:themeColor="hyperlink"/>
      <w:u w:val="single"/>
    </w:rPr>
  </w:style>
  <w:style w:type="paragraph" w:customStyle="1" w:styleId="Default">
    <w:name w:val="Default"/>
    <w:rsid w:val="00F02CE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Nmerodepgina">
    <w:name w:val="page number"/>
    <w:basedOn w:val="Fuentedeprrafopredeter"/>
    <w:uiPriority w:val="99"/>
    <w:semiHidden/>
    <w:unhideWhenUsed/>
    <w:rsid w:val="00063F93"/>
  </w:style>
  <w:style w:type="paragraph" w:styleId="Prrafodelista">
    <w:name w:val="List Paragraph"/>
    <w:basedOn w:val="Normal"/>
    <w:uiPriority w:val="34"/>
    <w:qFormat/>
    <w:rsid w:val="00F55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0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852</Words>
  <Characters>4689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2020-08-31T04:55:00Z</dcterms:created>
  <dcterms:modified xsi:type="dcterms:W3CDTF">2020-08-31T04:55:00Z</dcterms:modified>
</cp:coreProperties>
</file>