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2B9FA" w14:textId="7D965E40" w:rsidR="00F02CE8" w:rsidRPr="00560634" w:rsidRDefault="00F55598" w:rsidP="00F0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GUÍA FORMATIVA Nº 3</w:t>
      </w:r>
      <w:r w:rsidR="00F02CE8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 </w:t>
      </w:r>
      <w:r w:rsidR="00F02CE8"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</w:t>
      </w:r>
      <w:r w:rsidR="00F02CE8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HISTORIA, GEOGRAFÍA Y CIENCIAS SOCIALES</w:t>
      </w:r>
    </w:p>
    <w:p w14:paraId="08B57567" w14:textId="72398EA7" w:rsidR="00F02CE8" w:rsidRPr="00560634" w:rsidRDefault="00F02CE8" w:rsidP="00F0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6"/>
        <w:gridCol w:w="5043"/>
      </w:tblGrid>
      <w:tr w:rsidR="00F02CE8" w:rsidRPr="00101B83" w14:paraId="1CBFE3E7" w14:textId="77777777" w:rsidTr="00521D9E">
        <w:trPr>
          <w:trHeight w:val="171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3465B222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3C6F814B" w14:textId="7EF63747" w:rsidR="00F02CE8" w:rsidRPr="000331D6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Semana de trabajo</w:t>
            </w:r>
          </w:p>
        </w:tc>
      </w:tr>
      <w:tr w:rsidR="00F02CE8" w:rsidRPr="00101B83" w14:paraId="4A5C843B" w14:textId="77777777" w:rsidTr="00521D9E">
        <w:trPr>
          <w:trHeight w:val="296"/>
          <w:jc w:val="center"/>
        </w:trPr>
        <w:tc>
          <w:tcPr>
            <w:tcW w:w="2676" w:type="pct"/>
            <w:tcBorders>
              <w:bottom w:val="single" w:sz="4" w:space="0" w:color="auto"/>
            </w:tcBorders>
            <w:vAlign w:val="center"/>
          </w:tcPr>
          <w:p w14:paraId="0896DD9A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2</w:t>
            </w: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º Medio D-E-F</w:t>
            </w:r>
          </w:p>
        </w:tc>
        <w:tc>
          <w:tcPr>
            <w:tcW w:w="2324" w:type="pct"/>
            <w:tcBorders>
              <w:bottom w:val="single" w:sz="4" w:space="0" w:color="auto"/>
            </w:tcBorders>
            <w:vAlign w:val="center"/>
          </w:tcPr>
          <w:p w14:paraId="1EC017C4" w14:textId="0D9AE0C6" w:rsidR="00F02CE8" w:rsidRPr="00101B83" w:rsidRDefault="00F55598" w:rsidP="00521D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Desde el 31 de </w:t>
            </w:r>
            <w:r w:rsidR="00F02CE8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Agosto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al 4 </w:t>
            </w:r>
            <w:r w:rsidR="00F02CE8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Septiembre</w:t>
            </w:r>
          </w:p>
        </w:tc>
      </w:tr>
      <w:tr w:rsidR="00F02CE8" w:rsidRPr="00101B83" w14:paraId="6ECF9D07" w14:textId="77777777" w:rsidTr="00521D9E">
        <w:trPr>
          <w:trHeight w:val="87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5A49B6F4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Priorizado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58FCA194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</w:tr>
      <w:tr w:rsidR="00F02CE8" w:rsidRPr="00101B83" w14:paraId="62C30CBA" w14:textId="77777777" w:rsidTr="00521D9E">
        <w:trPr>
          <w:trHeight w:val="795"/>
          <w:jc w:val="center"/>
        </w:trPr>
        <w:tc>
          <w:tcPr>
            <w:tcW w:w="2676" w:type="pct"/>
            <w:vAlign w:val="center"/>
          </w:tcPr>
          <w:p w14:paraId="2DC815D2" w14:textId="6BAA1652" w:rsidR="00F02CE8" w:rsidRPr="00200167" w:rsidRDefault="00F55598" w:rsidP="00200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ES_tradnl" w:eastAsia="es-ES_tradnl"/>
              </w:rPr>
            </w:pPr>
            <w:r w:rsidRPr="00F555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s-ES_tradnl" w:eastAsia="es-ES_tradnl"/>
              </w:rPr>
              <w:t>OA 12:</w:t>
            </w:r>
            <w:r w:rsidRPr="00F555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ES_tradnl" w:eastAsia="es-ES_tradnl"/>
              </w:rPr>
              <w:t xml:space="preserve"> Caracterizar la extendida pobreza y precariedad de la sociedad chilena de mediados del siglo XX (magros indicadores sociodemográficos, bajo poder adquisitivo y de acceso al crédito, desnutrición y marginalidad), y evaluar el impacto que generó en esta sociedad la migración del campo a la ciudad (por ejemplo, el progresivo crecimiento de la población urbana, la segregación urbana, la escasez de viviendas, entre otros).</w:t>
            </w:r>
          </w:p>
        </w:tc>
        <w:tc>
          <w:tcPr>
            <w:tcW w:w="2324" w:type="pct"/>
            <w:vAlign w:val="center"/>
          </w:tcPr>
          <w:p w14:paraId="6FF9F1ED" w14:textId="258BCE59" w:rsidR="00F02CE8" w:rsidRPr="00101B83" w:rsidRDefault="00F02CE8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</w:tr>
      <w:tr w:rsidR="00F02CE8" w:rsidRPr="00101B83" w14:paraId="1B5571AB" w14:textId="77777777" w:rsidTr="00F55598">
        <w:trPr>
          <w:trHeight w:val="310"/>
          <w:jc w:val="center"/>
        </w:trPr>
        <w:tc>
          <w:tcPr>
            <w:tcW w:w="2676" w:type="pct"/>
            <w:shd w:val="clear" w:color="auto" w:fill="F2F2F2" w:themeFill="background1" w:themeFillShade="F2"/>
            <w:vAlign w:val="center"/>
          </w:tcPr>
          <w:p w14:paraId="6FCC30AE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</w:t>
            </w:r>
          </w:p>
        </w:tc>
        <w:tc>
          <w:tcPr>
            <w:tcW w:w="2324" w:type="pct"/>
            <w:shd w:val="clear" w:color="auto" w:fill="F2F2F2" w:themeFill="background1" w:themeFillShade="F2"/>
            <w:vAlign w:val="center"/>
          </w:tcPr>
          <w:p w14:paraId="07747FBF" w14:textId="03108FF2" w:rsidR="00F02CE8" w:rsidRPr="00101B83" w:rsidRDefault="00F02CE8" w:rsidP="005B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Docente</w:t>
            </w:r>
            <w:r w:rsidR="00F555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 </w:t>
            </w:r>
            <w:bookmarkStart w:id="0" w:name="_GoBack"/>
            <w:bookmarkEnd w:id="0"/>
          </w:p>
        </w:tc>
      </w:tr>
      <w:tr w:rsidR="00F02CE8" w:rsidRPr="00101B83" w14:paraId="6B62A58F" w14:textId="77777777" w:rsidTr="00521D9E">
        <w:trPr>
          <w:trHeight w:val="274"/>
          <w:jc w:val="center"/>
        </w:trPr>
        <w:tc>
          <w:tcPr>
            <w:tcW w:w="2676" w:type="pct"/>
            <w:vAlign w:val="center"/>
          </w:tcPr>
          <w:p w14:paraId="37F67833" w14:textId="25843761" w:rsidR="00F02CE8" w:rsidRPr="00F55598" w:rsidRDefault="00F55598" w:rsidP="00F5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E171A"/>
                <w:sz w:val="24"/>
                <w:szCs w:val="24"/>
                <w:lang w:val="es-ES_tradnl"/>
              </w:rPr>
            </w:pPr>
            <w:r w:rsidRPr="00F55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_tradnl"/>
              </w:rPr>
              <w:t>La participación política de</w:t>
            </w:r>
            <w:r w:rsidRPr="00F55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_tradnl"/>
              </w:rPr>
              <w:t xml:space="preserve"> </w:t>
            </w:r>
            <w:r w:rsidRPr="00F555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_tradnl"/>
              </w:rPr>
              <w:t>nuevos actores sociales</w:t>
            </w:r>
          </w:p>
        </w:tc>
        <w:tc>
          <w:tcPr>
            <w:tcW w:w="2324" w:type="pct"/>
            <w:vAlign w:val="center"/>
          </w:tcPr>
          <w:p w14:paraId="056E1685" w14:textId="77777777" w:rsidR="00F02CE8" w:rsidRPr="00101B83" w:rsidRDefault="006961F2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="00F02CE8" w:rsidRPr="00101B83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="00F02CE8"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</w:tc>
      </w:tr>
    </w:tbl>
    <w:p w14:paraId="4DDA1F03" w14:textId="77777777" w:rsidR="00660CDF" w:rsidRDefault="00660CDF" w:rsidP="009505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14:paraId="683B8A8F" w14:textId="6DAC3EDC" w:rsidR="00F55598" w:rsidRPr="008A0CB4" w:rsidRDefault="00F55598" w:rsidP="00F55598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b/>
          <w:sz w:val="24"/>
          <w:szCs w:val="24"/>
          <w:lang w:val="es-ES_tradnl"/>
        </w:rPr>
        <w:t>LA PARTICIPACIÓN POLÍTICA DE NUEVOS ACTORES SOCIALES</w:t>
      </w:r>
    </w:p>
    <w:p w14:paraId="012F9047" w14:textId="146FBE02" w:rsidR="00F55598" w:rsidRPr="008A0CB4" w:rsidRDefault="00F55598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DC73FFB" w14:textId="77777777" w:rsidR="00352FC6" w:rsidRDefault="00A449C3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A449C3">
        <w:rPr>
          <w:rFonts w:ascii="Times New Roman" w:hAnsi="Times New Roman" w:cs="Times New Roman"/>
          <w:sz w:val="24"/>
          <w:szCs w:val="24"/>
          <w:lang w:val="es-ES_tradnl"/>
        </w:rPr>
        <w:drawing>
          <wp:anchor distT="0" distB="0" distL="114300" distR="114300" simplePos="0" relativeHeight="251658240" behindDoc="0" locked="0" layoutInCell="1" allowOverlap="1" wp14:anchorId="04399AA1" wp14:editId="34EA0BAB">
            <wp:simplePos x="0" y="0"/>
            <wp:positionH relativeFrom="column">
              <wp:posOffset>2877820</wp:posOffset>
            </wp:positionH>
            <wp:positionV relativeFrom="paragraph">
              <wp:posOffset>32385</wp:posOffset>
            </wp:positionV>
            <wp:extent cx="3492500" cy="2512695"/>
            <wp:effectExtent l="0" t="0" r="12700" b="1905"/>
            <wp:wrapTight wrapText="bothSides">
              <wp:wrapPolygon edited="0">
                <wp:start x="0" y="0"/>
                <wp:lineTo x="0" y="21398"/>
                <wp:lineTo x="21521" y="21398"/>
                <wp:lineTo x="2152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Uno de los procesos más relevantes de Chile durante el siglo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XX fue la creciente masificación y ampliación de la esfera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política. Si antes de la década de 1920, la acción política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había estado reservada a la oligarquía, luego de la crisis del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sistema parlamentario comenzó a desplazarse hacia la calle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mediante multitudinarias concentraciones y exhibiciones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de apoyo popular. </w:t>
      </w:r>
    </w:p>
    <w:p w14:paraId="28844CE2" w14:textId="77777777" w:rsidR="00352FC6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8AC6B43" w14:textId="6FEE6ACE" w:rsidR="00F55598" w:rsidRDefault="00F55598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De este modo, el mundo político se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amplió a nuevos sectores sociales como las mujeres, los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sectores medios, los obreros y los trabajadores, quienes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lucharon desde fines del siglo XIX por ser reconocidos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como sujetos de derecho. Este proceso tuvo características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como las siguientes:</w:t>
      </w:r>
    </w:p>
    <w:p w14:paraId="0339175D" w14:textId="77777777" w:rsidR="00F55598" w:rsidRPr="008A0CB4" w:rsidRDefault="00F55598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615C3D4" w14:textId="0FBA82CD" w:rsidR="00F55598" w:rsidRPr="00352FC6" w:rsidRDefault="00F55598" w:rsidP="00352FC6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52FC6">
        <w:rPr>
          <w:rFonts w:ascii="Times New Roman" w:hAnsi="Times New Roman" w:cs="Times New Roman"/>
          <w:b/>
          <w:sz w:val="24"/>
          <w:szCs w:val="24"/>
          <w:lang w:val="es-ES_tradnl"/>
        </w:rPr>
        <w:t>La expansión del sufragio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. Esta masificación de la vida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política también estuvo marcada por la ampliación gradual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del derecho a voto y del padrón electoral. En 1935 se reconoció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el voto femenino en las elecciones municipales, y en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1952 las mujeres pudieron participar en las presidenciales.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Además, en 1969 se extendió el voto a los ciegos y a los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analfabetos en 1972.</w:t>
      </w:r>
    </w:p>
    <w:p w14:paraId="15906C1A" w14:textId="77777777" w:rsidR="00352FC6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14:paraId="58E58EAC" w14:textId="7B34AE32" w:rsidR="00F55598" w:rsidRPr="00352FC6" w:rsidRDefault="00F55598" w:rsidP="00352FC6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52FC6">
        <w:rPr>
          <w:rFonts w:ascii="Times New Roman" w:hAnsi="Times New Roman" w:cs="Times New Roman"/>
          <w:b/>
          <w:sz w:val="24"/>
          <w:szCs w:val="24"/>
          <w:lang w:val="es-ES_tradnl"/>
        </w:rPr>
        <w:t>La utilización de los medios masivos de comunicación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.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Se utilizaron para la divulgación de mensajes políticos</w:t>
      </w:r>
      <w:r w:rsidR="008A0CB4"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y la articulación de redes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de adherentes. Así, la política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pasó a ser una experiencia colectiva que inundaba los periódicos,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52FC6">
        <w:rPr>
          <w:rFonts w:ascii="Times New Roman" w:hAnsi="Times New Roman" w:cs="Times New Roman"/>
          <w:sz w:val="24"/>
          <w:szCs w:val="24"/>
          <w:lang w:val="es-ES_tradnl"/>
        </w:rPr>
        <w:t>las radios, el cine y la televisión.</w:t>
      </w:r>
    </w:p>
    <w:p w14:paraId="676B8AD8" w14:textId="38189569" w:rsidR="00F55598" w:rsidRPr="008A0CB4" w:rsidRDefault="00F55598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DD186E0" w14:textId="5DCC023B" w:rsidR="00F55598" w:rsidRPr="008A0CB4" w:rsidRDefault="00F55598" w:rsidP="00F55598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b/>
          <w:sz w:val="24"/>
          <w:szCs w:val="24"/>
          <w:lang w:val="es-ES_tradnl"/>
        </w:rPr>
        <w:t>LA INCORPORACIÓN DE LAS MUJERES A LA CIUDADANÍA POLÍTICA</w:t>
      </w:r>
    </w:p>
    <w:p w14:paraId="00491DA8" w14:textId="02799636" w:rsidR="00F55598" w:rsidRPr="008A0CB4" w:rsidRDefault="00F55598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4466751" w14:textId="402F5B25" w:rsidR="00F55598" w:rsidRPr="008A0CB4" w:rsidRDefault="00F55598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Durante la primera mitad del siglo XX en Chile, en concordancia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con los procesos sociales que se estaban desarrollando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en el resto del mundo, la situación de las mujeres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comenzó a experimentar diversos cambios. Algunos de los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más importantes fueron los siguientes:</w:t>
      </w:r>
    </w:p>
    <w:p w14:paraId="6DB0C20F" w14:textId="77777777" w:rsidR="00352FC6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ABC1984" w14:textId="77777777" w:rsidR="00352FC6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19E2413" w14:textId="77777777" w:rsidR="00352FC6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ADAB787" w14:textId="77777777" w:rsidR="00352FC6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3BFB2F2" w14:textId="77777777" w:rsidR="00352FC6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C40E653" w14:textId="77777777" w:rsidR="00352FC6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0D0D404" w14:textId="77777777" w:rsidR="00352FC6" w:rsidRPr="008A0CB4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C34FC8D" w14:textId="12011D17" w:rsidR="00F55598" w:rsidRPr="008A0CB4" w:rsidRDefault="00352FC6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352FC6">
        <w:rPr>
          <w:rFonts w:ascii="Times New Roman" w:hAnsi="Times New Roman" w:cs="Times New Roman"/>
          <w:sz w:val="24"/>
          <w:szCs w:val="24"/>
          <w:lang w:val="es-ES_tradnl"/>
        </w:rPr>
        <w:lastRenderedPageBreak/>
        <w:drawing>
          <wp:anchor distT="0" distB="0" distL="114300" distR="114300" simplePos="0" relativeHeight="251659264" behindDoc="0" locked="0" layoutInCell="1" allowOverlap="1" wp14:anchorId="3DA2A217" wp14:editId="6CEAFD65">
            <wp:simplePos x="0" y="0"/>
            <wp:positionH relativeFrom="column">
              <wp:posOffset>3098800</wp:posOffset>
            </wp:positionH>
            <wp:positionV relativeFrom="paragraph">
              <wp:posOffset>95250</wp:posOffset>
            </wp:positionV>
            <wp:extent cx="3221355" cy="1713865"/>
            <wp:effectExtent l="0" t="0" r="4445" b="0"/>
            <wp:wrapTight wrapText="bothSides">
              <wp:wrapPolygon edited="0">
                <wp:start x="0" y="0"/>
                <wp:lineTo x="0" y="21128"/>
                <wp:lineTo x="21459" y="21128"/>
                <wp:lineTo x="2145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598" w:rsidRPr="008A0CB4">
        <w:rPr>
          <w:rFonts w:ascii="Times New Roman" w:hAnsi="Times New Roman" w:cs="Times New Roman"/>
          <w:b/>
          <w:sz w:val="24"/>
          <w:szCs w:val="24"/>
          <w:lang w:val="es-ES_tradnl"/>
        </w:rPr>
        <w:t>Lucha por los derechos políticos.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La lucha por el sufragio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femenino que se inició a fines del siglo XIX, tomó fuerza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con las transformaciones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iniciadas a comienzos del siglo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XX, y especialmente con la politización de los años 30. En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esta década, una de las organizaciones femeninas más importantes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fue el Movimiento Pro-Emancipación de las Mujeres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(MEMCh), asociación formada por mujeres ilustradas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de clase media, muchas de las cuales constituían la primera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o segunda generación de profesionales universitarias.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Mientras en Estados Unidos y en otras partes del mundo,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ya en 1920 se había aprobado el voto femenino, en el caso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de Chile recién en 1952 las mujeres pudieron votar por primera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5598" w:rsidRPr="008A0CB4">
        <w:rPr>
          <w:rFonts w:ascii="Times New Roman" w:hAnsi="Times New Roman" w:cs="Times New Roman"/>
          <w:sz w:val="24"/>
          <w:szCs w:val="24"/>
          <w:lang w:val="es-ES_tradnl"/>
        </w:rPr>
        <w:t>vez en elecciones presidenciales.</w:t>
      </w:r>
    </w:p>
    <w:p w14:paraId="2D120DA1" w14:textId="5CCBC2DF" w:rsidR="00F55598" w:rsidRPr="008A0CB4" w:rsidRDefault="00F55598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BA6D1E" w14:textId="4B1DB863" w:rsidR="00F55598" w:rsidRPr="008A0CB4" w:rsidRDefault="00F55598" w:rsidP="00F555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b/>
          <w:sz w:val="24"/>
          <w:szCs w:val="24"/>
          <w:lang w:val="es-ES_tradnl"/>
        </w:rPr>
        <w:t>Participación en el campo laboral y cultural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. Gracias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a su incorporación en el sistema universitario a fines del</w:t>
      </w:r>
      <w:r w:rsid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siglo XIX, durante la déca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da de 1920 ya existían en Chile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destacadas mujeres científicas, artistas y profesionales.</w:t>
      </w:r>
      <w:r w:rsid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Su trabajo contribuyó a q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ue la sociedad comprendiera que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el aporte de las mujeres era tan importante como el de los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hombres. Destacaron especialmente las profesoras Amanda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Labarca, Olga Poblete e Irma Salas; las ingenieras Justicia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Acuña y Victoria Tagle; las abogadas Matilde Throup y Elena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Caffarena; las artistas Laura Rodig, Inés Puyó, Ana Cortés,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Lily Garafulic y Marta Colvin; y la escritora Gabriela Mistral,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sz w:val="24"/>
          <w:szCs w:val="24"/>
          <w:lang w:val="es-ES_tradnl"/>
        </w:rPr>
        <w:t>quien obtuvo el Premio Nobel de Literatura en 1945.</w:t>
      </w:r>
    </w:p>
    <w:p w14:paraId="57FA0C5C" w14:textId="77777777" w:rsidR="008A0CB4" w:rsidRPr="008A0CB4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E171A"/>
          <w:sz w:val="24"/>
          <w:szCs w:val="24"/>
          <w:lang w:val="es-ES_tradnl"/>
        </w:rPr>
      </w:pPr>
    </w:p>
    <w:p w14:paraId="27859E7E" w14:textId="6168140D" w:rsidR="008A0CB4" w:rsidRPr="008A0CB4" w:rsidRDefault="008A0CB4" w:rsidP="008A0CB4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EL CRECIENTE PROTAGONISMO DE LA CLASE MEDIA</w:t>
      </w:r>
    </w:p>
    <w:p w14:paraId="2EB90A47" w14:textId="77777777" w:rsidR="008A0CB4" w:rsidRPr="008A0CB4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25D50F70" w14:textId="6B24EC2E" w:rsidR="008A0CB4" w:rsidRPr="008A0CB4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partir de la década de 1920, en Chile se fortaleció la clase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media, integrada por profesionales, funcionarios públicos,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militares, pequeños comerciantes, intelectuales e inmigrantes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(especialmente europeos que buscaban huir de las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guerras y conflictos en su continente). A medida que fue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avanzando el siglo XX, este sector de la sociedad chilena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comenzó a adquirir cada vez mayor protagonismo, principalmente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debido a factores como los siguientes:</w:t>
      </w:r>
    </w:p>
    <w:p w14:paraId="04746183" w14:textId="7D2E51DA" w:rsidR="008A0CB4" w:rsidRPr="008A0CB4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E171A"/>
          <w:sz w:val="24"/>
          <w:szCs w:val="24"/>
          <w:lang w:val="es-ES_tradnl"/>
        </w:rPr>
      </w:pPr>
    </w:p>
    <w:p w14:paraId="35C9530E" w14:textId="55C73D32" w:rsidR="008A0CB4" w:rsidRPr="00352FC6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 xml:space="preserve">Fortalecimiento del sector público.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ampliación de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las instituciones estatales y la redefinición del rol del Estado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que se experimentó a partir de 1924 permitieron que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un número creciente de personas accediera a empleos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sector público, pasando a formar parte de la llamada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“burocracia”. La creación de escuelas y liceos públicos, así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como de escuelas normales –dedicadas a la formación de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profesores y profesoras– y universidades en la capital y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provincias, ayudó a que se ampliara el nivel de escolaridad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los chilenos, consolidando el rol del Estado como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garante de la educación por medio del denominado Estado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docente.</w:t>
      </w:r>
    </w:p>
    <w:p w14:paraId="22AEF7E9" w14:textId="466695CB" w:rsidR="00F55598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Mayor acceso a bienes y servicios.</w:t>
      </w:r>
      <w:r w:rsidRPr="008A0CB4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 el proceso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industrialización y el rol más activo del Estado en la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promoción del bienestar social, la clase media pudo acceder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una mejor educación y salud, lo que les permitió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sus miembros obtener mejores empleos y destacar en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ámbitos de la vida cultural, como la creación artística e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intelectual. Además, con la creciente urbanización del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país, más personas accedieron a tecnologías como la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electricidad, el cinematógrafo o la radiofonía.</w:t>
      </w:r>
    </w:p>
    <w:p w14:paraId="2F096CA1" w14:textId="6425A6BC" w:rsidR="008A0CB4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0E05AEA0" w14:textId="137A6A9E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352FC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62336" behindDoc="0" locked="0" layoutInCell="1" allowOverlap="1" wp14:anchorId="2C31A70D" wp14:editId="08E32688">
            <wp:simplePos x="0" y="0"/>
            <wp:positionH relativeFrom="column">
              <wp:posOffset>704003</wp:posOffset>
            </wp:positionH>
            <wp:positionV relativeFrom="paragraph">
              <wp:posOffset>-155152</wp:posOffset>
            </wp:positionV>
            <wp:extent cx="5046345" cy="2374900"/>
            <wp:effectExtent l="0" t="0" r="8255" b="12700"/>
            <wp:wrapTight wrapText="bothSides">
              <wp:wrapPolygon edited="0">
                <wp:start x="0" y="0"/>
                <wp:lineTo x="0" y="21484"/>
                <wp:lineTo x="21527" y="21484"/>
                <wp:lineTo x="21527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8EBFF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70524E21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00402E8B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4918A7D9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51EC13B6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68BD0BD3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377B8E45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1A0DC722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1D9D2391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306A3EB4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76F44EBD" w14:textId="77777777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60C4FD8F" w14:textId="77777777" w:rsidR="00352FC6" w:rsidRPr="00352FC6" w:rsidRDefault="00352FC6" w:rsidP="00352F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</w:pPr>
    </w:p>
    <w:p w14:paraId="12AC1659" w14:textId="229BA355" w:rsidR="008A0CB4" w:rsidRPr="008A0CB4" w:rsidRDefault="008A0CB4" w:rsidP="008A0CB4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EL EMPODERAMIENTO DEL MOVIMIENTO OBRERO</w:t>
      </w:r>
    </w:p>
    <w:p w14:paraId="2367EE00" w14:textId="758CBCA5" w:rsidR="008A0CB4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352FC6">
        <w:rPr>
          <w:rFonts w:ascii="Times New Roman" w:hAnsi="Times New Roman" w:cs="Times New Roman"/>
          <w:color w:val="CE171A"/>
          <w:sz w:val="24"/>
          <w:szCs w:val="24"/>
          <w:lang w:val="es-ES_tradnl"/>
        </w:rPr>
        <w:drawing>
          <wp:anchor distT="0" distB="0" distL="114300" distR="114300" simplePos="0" relativeHeight="251663360" behindDoc="0" locked="0" layoutInCell="1" allowOverlap="1" wp14:anchorId="6E7A59F6" wp14:editId="02CB49C3">
            <wp:simplePos x="0" y="0"/>
            <wp:positionH relativeFrom="column">
              <wp:posOffset>2646045</wp:posOffset>
            </wp:positionH>
            <wp:positionV relativeFrom="paragraph">
              <wp:posOffset>150495</wp:posOffset>
            </wp:positionV>
            <wp:extent cx="3669665" cy="2436495"/>
            <wp:effectExtent l="0" t="0" r="0" b="1905"/>
            <wp:wrapTight wrapText="bothSides">
              <wp:wrapPolygon edited="0">
                <wp:start x="0" y="0"/>
                <wp:lineTo x="0" y="21392"/>
                <wp:lineTo x="21379" y="21392"/>
                <wp:lineTo x="21379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EDBE2" w14:textId="3CE88093" w:rsidR="008A0CB4" w:rsidRPr="008A0CB4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movimiento obrero, que había cumplido un importante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pel en la crisis de 1929, vivió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significativas transformaciones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medida que avanzaba el siglo. Luego del aumento de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las movilizaciones populares, las demandas de trabajadores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y obreros fueron asentándose dentro del sistema político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chileno. Este proceso contribuyó a que el movimiento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obrero cambiara sus formas de acción y se desarrolló principalmente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por los siguientes medios:</w:t>
      </w:r>
    </w:p>
    <w:p w14:paraId="0D49EB81" w14:textId="0E46C1D3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E171A"/>
          <w:sz w:val="24"/>
          <w:szCs w:val="24"/>
          <w:lang w:val="es-ES_tradnl"/>
        </w:rPr>
      </w:pPr>
    </w:p>
    <w:p w14:paraId="7867B8DE" w14:textId="41226BBD" w:rsidR="008A0CB4" w:rsidRPr="008A0CB4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Partidos políticos.</w:t>
      </w:r>
      <w:r w:rsidRPr="008A0CB4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 la fundación de organizaciones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políticas populares, como el Partido Comunista (1924), Partido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Socialista (1933) o la Izquierda Comunista (1933), los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trabajadores y obreros comenzaron a contar con representación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política en el debate público de nuevas legislaciones.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Los miembros de estos nuevos partidos se dedicaron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realizar múltiples iniciativas a nivel local, mientras a nivel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nacional tomaban cada vez más fuerza los sindicatos.</w:t>
      </w:r>
    </w:p>
    <w:p w14:paraId="08D43913" w14:textId="7768A3B9" w:rsidR="00352FC6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E171A"/>
          <w:sz w:val="24"/>
          <w:szCs w:val="24"/>
          <w:lang w:val="es-ES_tradnl"/>
        </w:rPr>
      </w:pPr>
    </w:p>
    <w:p w14:paraId="06715478" w14:textId="24FF8281" w:rsidR="008A0CB4" w:rsidRPr="008A0CB4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352FC6">
        <w:rPr>
          <w:rFonts w:ascii="Times New Roman" w:hAnsi="Times New Roman" w:cs="Times New Roman"/>
          <w:color w:val="CE171A"/>
          <w:sz w:val="24"/>
          <w:szCs w:val="24"/>
          <w:lang w:val="es-ES_tradnl"/>
        </w:rPr>
        <w:drawing>
          <wp:anchor distT="0" distB="0" distL="114300" distR="114300" simplePos="0" relativeHeight="251666432" behindDoc="0" locked="0" layoutInCell="1" allowOverlap="1" wp14:anchorId="5DC18F1B" wp14:editId="793E6374">
            <wp:simplePos x="0" y="0"/>
            <wp:positionH relativeFrom="column">
              <wp:posOffset>2646045</wp:posOffset>
            </wp:positionH>
            <wp:positionV relativeFrom="paragraph">
              <wp:posOffset>74930</wp:posOffset>
            </wp:positionV>
            <wp:extent cx="3657600" cy="2174240"/>
            <wp:effectExtent l="0" t="0" r="0" b="10160"/>
            <wp:wrapTight wrapText="bothSides">
              <wp:wrapPolygon edited="0">
                <wp:start x="0" y="0"/>
                <wp:lineTo x="0" y="21449"/>
                <wp:lineTo x="21450" y="21449"/>
                <wp:lineTo x="21450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CB4" w:rsidRPr="008A0CB4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Organizaciones y sindicatos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 Durante la primera mitad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siglo XX surgieron numerosos sindicatos, entre los que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destacaron la Agrupación Nacional de Empleados Fiscales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(1944); la Federación de Educadores de Chile (1945),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Federación Obrera Nacional del Cuero y del Calzado, el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Movimiento Unitario Nacional de Trabajadores y el Comité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Relacionador de Unidad Sindical (1951); el Movimiento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Unidad Sindical y el Comité Nacional de Federaciones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(1952). Todas estas organizaciones se unificaron en 1953 en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Central Única de Trabajadores (CUT). Además, la participación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mujeres obreras se organizó en movimientos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como la Federación Unión Obrera Femenina, el Consejo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Federal Femenino y el Sindicato de Trabajadoras de la Aguja,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entre otros. Dentro de estas agrupaciones femeninas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destacó especialmente la figura de Fidelma Allende, quien</w:t>
      </w:r>
      <w:r w:rsid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A0CB4"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1967 fue elegida dirigente nacional de la CUT.</w:t>
      </w:r>
    </w:p>
    <w:p w14:paraId="485C80A4" w14:textId="70311103" w:rsidR="008A0CB4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E171A"/>
          <w:sz w:val="24"/>
          <w:szCs w:val="24"/>
          <w:lang w:val="es-ES_tradnl"/>
        </w:rPr>
      </w:pPr>
      <w:r w:rsidRPr="00352FC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77696" behindDoc="0" locked="0" layoutInCell="1" allowOverlap="1" wp14:anchorId="25669DE5" wp14:editId="16B960D8">
            <wp:simplePos x="0" y="0"/>
            <wp:positionH relativeFrom="column">
              <wp:posOffset>17145</wp:posOffset>
            </wp:positionH>
            <wp:positionV relativeFrom="paragraph">
              <wp:posOffset>120650</wp:posOffset>
            </wp:positionV>
            <wp:extent cx="2302510" cy="2855595"/>
            <wp:effectExtent l="0" t="0" r="8890" b="0"/>
            <wp:wrapTight wrapText="bothSides">
              <wp:wrapPolygon edited="0">
                <wp:start x="0" y="0"/>
                <wp:lineTo x="0" y="21326"/>
                <wp:lineTo x="21445" y="21326"/>
                <wp:lineTo x="21445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92D6A" w14:textId="3DEA6A21" w:rsidR="008A0CB4" w:rsidRDefault="008A0CB4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8A0CB4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Formas de acción.</w:t>
      </w:r>
      <w:r w:rsidRPr="008A0CB4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persecución política de sus dirigentes,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formación de sindicatos legales, los logros en materia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legislación social y el fortalecimiento del Estado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significaron un cambio en las condiciones en que se había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desarrollado la organización de los trabajadores. En ese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sentido, un aspecto muy significativo fue la legalización de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las huelgas en el Código del Trabajo (1931), con lo que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 estableció que ningún trabajador podía ser despedido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durante una huelga, salvo que destruyera las inmediaciones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su lugar de trabajo o participara de boicots a sus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productos. Además, la ley creó juntas de conciliación y de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arbitraje, como mecanismos para solucionar los conflictos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8A0CB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entre trabajadores y empleadores.</w:t>
      </w:r>
    </w:p>
    <w:p w14:paraId="4BD97DD4" w14:textId="3B679EF2" w:rsidR="00352FC6" w:rsidRPr="008A0CB4" w:rsidRDefault="00352FC6" w:rsidP="008A0C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sectPr w:rsidR="00352FC6" w:rsidRPr="008A0CB4" w:rsidSect="00F02CE8">
      <w:headerReference w:type="default" r:id="rId14"/>
      <w:footerReference w:type="even" r:id="rId15"/>
      <w:footerReference w:type="default" r:id="rId16"/>
      <w:pgSz w:w="12240" w:h="18720" w:code="14"/>
      <w:pgMar w:top="1134" w:right="1134" w:bottom="1134" w:left="1134" w:header="5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B6D004" w14:textId="77777777" w:rsidR="006961F2" w:rsidRDefault="006961F2" w:rsidP="00F02CE8">
      <w:pPr>
        <w:spacing w:after="0" w:line="240" w:lineRule="auto"/>
      </w:pPr>
      <w:r>
        <w:separator/>
      </w:r>
    </w:p>
  </w:endnote>
  <w:endnote w:type="continuationSeparator" w:id="0">
    <w:p w14:paraId="40A0BB4C" w14:textId="77777777" w:rsidR="006961F2" w:rsidRDefault="006961F2" w:rsidP="00F02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0010A" w14:textId="77777777" w:rsidR="00063F93" w:rsidRDefault="00063F93" w:rsidP="00763F4C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5C98A6B" w14:textId="77777777" w:rsidR="00063F93" w:rsidRDefault="00063F93" w:rsidP="00063F9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22939" w14:textId="77777777" w:rsidR="00063F93" w:rsidRDefault="00063F93" w:rsidP="00763F4C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961F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9F25921" w14:textId="77777777" w:rsidR="00063F93" w:rsidRDefault="00063F93" w:rsidP="00063F9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A5157" w14:textId="77777777" w:rsidR="006961F2" w:rsidRDefault="006961F2" w:rsidP="00F02CE8">
      <w:pPr>
        <w:spacing w:after="0" w:line="240" w:lineRule="auto"/>
      </w:pPr>
      <w:r>
        <w:separator/>
      </w:r>
    </w:p>
  </w:footnote>
  <w:footnote w:type="continuationSeparator" w:id="0">
    <w:p w14:paraId="6A276A18" w14:textId="77777777" w:rsidR="006961F2" w:rsidRDefault="006961F2" w:rsidP="00F02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A774A" w14:textId="77777777" w:rsidR="00F02CE8" w:rsidRPr="00560634" w:rsidRDefault="00F02CE8" w:rsidP="00F02CE8">
    <w:pPr>
      <w:pStyle w:val="Encabezado"/>
      <w:rPr>
        <w:rFonts w:ascii="Times New Roman" w:hAnsi="Times New Roman" w:cs="Times New Roman"/>
      </w:rPr>
    </w:pPr>
    <w:r w:rsidRPr="00560634">
      <w:rPr>
        <w:rFonts w:ascii="Times New Roman" w:hAnsi="Times New Roman" w:cs="Times New Roman"/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122D159D" wp14:editId="66A2D36B">
          <wp:simplePos x="0" y="0"/>
          <wp:positionH relativeFrom="column">
            <wp:posOffset>131445</wp:posOffset>
          </wp:positionH>
          <wp:positionV relativeFrom="paragraph">
            <wp:posOffset>-215900</wp:posOffset>
          </wp:positionV>
          <wp:extent cx="701040" cy="829310"/>
          <wp:effectExtent l="0" t="0" r="10160" b="8890"/>
          <wp:wrapSquare wrapText="bothSides"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0F95903B" wp14:editId="77CAF189">
          <wp:simplePos x="0" y="0"/>
          <wp:positionH relativeFrom="column">
            <wp:posOffset>4930775</wp:posOffset>
          </wp:positionH>
          <wp:positionV relativeFrom="paragraph">
            <wp:posOffset>-216535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3" name="Imagen 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0E5F10C0" w14:textId="77777777" w:rsidR="00F02CE8" w:rsidRPr="00560634" w:rsidRDefault="00F02CE8" w:rsidP="00F02CE8">
    <w:pPr>
      <w:pStyle w:val="Encabezad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7012586F" w14:textId="77777777" w:rsidR="00F02CE8" w:rsidRDefault="00F02CE8" w:rsidP="00F02CE8">
    <w:pPr>
      <w:pStyle w:val="Encabezad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0AD78D7E" w14:textId="77777777" w:rsidR="00F02CE8" w:rsidRDefault="00F02CE8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F1751"/>
    <w:multiLevelType w:val="hybridMultilevel"/>
    <w:tmpl w:val="816438B6"/>
    <w:lvl w:ilvl="0" w:tplc="4738C67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E7652C"/>
    <w:multiLevelType w:val="hybridMultilevel"/>
    <w:tmpl w:val="3A9CD8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CE8"/>
    <w:rsid w:val="00063F93"/>
    <w:rsid w:val="00200167"/>
    <w:rsid w:val="00311BD6"/>
    <w:rsid w:val="00352FC6"/>
    <w:rsid w:val="005B4F64"/>
    <w:rsid w:val="006015AB"/>
    <w:rsid w:val="00624599"/>
    <w:rsid w:val="00660CDF"/>
    <w:rsid w:val="00682AD0"/>
    <w:rsid w:val="006961F2"/>
    <w:rsid w:val="007D13B5"/>
    <w:rsid w:val="007E5F65"/>
    <w:rsid w:val="007F78E4"/>
    <w:rsid w:val="007F7E67"/>
    <w:rsid w:val="008A0CB4"/>
    <w:rsid w:val="00950505"/>
    <w:rsid w:val="00A449C3"/>
    <w:rsid w:val="00A9291C"/>
    <w:rsid w:val="00B51DE4"/>
    <w:rsid w:val="00D0495E"/>
    <w:rsid w:val="00F02CE8"/>
    <w:rsid w:val="00F5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A107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CE8"/>
    <w:pPr>
      <w:spacing w:after="160" w:line="259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2CE8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F02CE8"/>
  </w:style>
  <w:style w:type="paragraph" w:styleId="Piedepgina">
    <w:name w:val="footer"/>
    <w:basedOn w:val="Normal"/>
    <w:link w:val="PiedepginaCar"/>
    <w:uiPriority w:val="99"/>
    <w:unhideWhenUsed/>
    <w:rsid w:val="00F02CE8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02CE8"/>
  </w:style>
  <w:style w:type="character" w:styleId="Hipervnculo">
    <w:name w:val="Hyperlink"/>
    <w:basedOn w:val="Fuentedeprrafopredeter"/>
    <w:uiPriority w:val="99"/>
    <w:unhideWhenUsed/>
    <w:rsid w:val="00F02CE8"/>
    <w:rPr>
      <w:color w:val="0563C1" w:themeColor="hyperlink"/>
      <w:u w:val="single"/>
    </w:rPr>
  </w:style>
  <w:style w:type="paragraph" w:customStyle="1" w:styleId="Default">
    <w:name w:val="Default"/>
    <w:rsid w:val="00F02CE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Nmerodepgina">
    <w:name w:val="page number"/>
    <w:basedOn w:val="Fuentedeprrafopredeter"/>
    <w:uiPriority w:val="99"/>
    <w:semiHidden/>
    <w:unhideWhenUsed/>
    <w:rsid w:val="00063F93"/>
  </w:style>
  <w:style w:type="paragraph" w:styleId="Prrafodelista">
    <w:name w:val="List Paragraph"/>
    <w:basedOn w:val="Normal"/>
    <w:uiPriority w:val="34"/>
    <w:qFormat/>
    <w:rsid w:val="00F55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0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1253</Words>
  <Characters>6893</Characters>
  <Application>Microsoft Macintosh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2020-08-31T04:08:00Z</dcterms:created>
  <dcterms:modified xsi:type="dcterms:W3CDTF">2020-08-31T04:08:00Z</dcterms:modified>
</cp:coreProperties>
</file>