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F2D432" w14:textId="14A7D172" w:rsidR="00D80323" w:rsidRDefault="00D80323" w:rsidP="00AB7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</w:pPr>
    </w:p>
    <w:p w14:paraId="33C35051" w14:textId="04044A2C" w:rsidR="00AB7EE9" w:rsidRPr="00560634" w:rsidRDefault="002C718C" w:rsidP="00AB7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>GUÍA FORMATIVA Nº 3</w:t>
      </w:r>
      <w:r w:rsidR="00AB7EE9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 xml:space="preserve"> </w:t>
      </w:r>
      <w:r w:rsidR="00AB7EE9" w:rsidRPr="00560634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 xml:space="preserve">DE </w:t>
      </w:r>
      <w:r w:rsidR="00AB7EE9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 xml:space="preserve">HISTORIA, GEOGRAFÍA Y CIENCIAS SOCIALES </w:t>
      </w:r>
    </w:p>
    <w:p w14:paraId="66ECF835" w14:textId="74218542" w:rsidR="00AB7EE9" w:rsidRPr="00560634" w:rsidRDefault="00AB7EE9" w:rsidP="00AB7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</w:pPr>
    </w:p>
    <w:tbl>
      <w:tblPr>
        <w:tblW w:w="54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6"/>
        <w:gridCol w:w="5043"/>
      </w:tblGrid>
      <w:tr w:rsidR="00AB7EE9" w:rsidRPr="00101B83" w14:paraId="0B7394F4" w14:textId="77777777" w:rsidTr="00521D9E">
        <w:trPr>
          <w:trHeight w:val="171"/>
          <w:jc w:val="center"/>
        </w:trPr>
        <w:tc>
          <w:tcPr>
            <w:tcW w:w="2676" w:type="pct"/>
            <w:shd w:val="clear" w:color="auto" w:fill="F2F2F2"/>
            <w:vAlign w:val="center"/>
          </w:tcPr>
          <w:p w14:paraId="2BFAFFB8" w14:textId="77777777" w:rsidR="00AB7EE9" w:rsidRPr="00101B83" w:rsidRDefault="00AB7EE9" w:rsidP="00521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Curso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s</w:t>
            </w:r>
          </w:p>
        </w:tc>
        <w:tc>
          <w:tcPr>
            <w:tcW w:w="2324" w:type="pct"/>
            <w:shd w:val="clear" w:color="auto" w:fill="F2F2F2"/>
            <w:vAlign w:val="center"/>
          </w:tcPr>
          <w:p w14:paraId="5730EFFD" w14:textId="77777777" w:rsidR="00AB7EE9" w:rsidRPr="000331D6" w:rsidRDefault="00AB7EE9" w:rsidP="00521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Semana de trabajo</w:t>
            </w:r>
          </w:p>
        </w:tc>
      </w:tr>
      <w:tr w:rsidR="00AB7EE9" w:rsidRPr="00101B83" w14:paraId="4E4DA88F" w14:textId="77777777" w:rsidTr="00521D9E">
        <w:trPr>
          <w:trHeight w:val="296"/>
          <w:jc w:val="center"/>
        </w:trPr>
        <w:tc>
          <w:tcPr>
            <w:tcW w:w="2676" w:type="pct"/>
            <w:tcBorders>
              <w:bottom w:val="single" w:sz="4" w:space="0" w:color="auto"/>
            </w:tcBorders>
            <w:vAlign w:val="center"/>
          </w:tcPr>
          <w:p w14:paraId="6C261886" w14:textId="7E6B3777" w:rsidR="00AB7EE9" w:rsidRPr="00101B83" w:rsidRDefault="00AB7EE9" w:rsidP="00521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1</w:t>
            </w:r>
            <w:r w:rsidRPr="00101B8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º Medio D-E-F</w:t>
            </w:r>
          </w:p>
        </w:tc>
        <w:tc>
          <w:tcPr>
            <w:tcW w:w="2324" w:type="pct"/>
            <w:tcBorders>
              <w:bottom w:val="single" w:sz="4" w:space="0" w:color="auto"/>
            </w:tcBorders>
            <w:vAlign w:val="center"/>
          </w:tcPr>
          <w:p w14:paraId="0C87BC40" w14:textId="2608869A" w:rsidR="00AB7EE9" w:rsidRPr="00101B83" w:rsidRDefault="00AB7EE9" w:rsidP="00521D9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Desde el 3</w:t>
            </w:r>
            <w:r w:rsidR="002C718C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1 de Agosto al 4 de Septiembre</w:t>
            </w:r>
          </w:p>
        </w:tc>
      </w:tr>
      <w:tr w:rsidR="00AB7EE9" w:rsidRPr="00101B83" w14:paraId="7FB30D7D" w14:textId="77777777" w:rsidTr="00521D9E">
        <w:trPr>
          <w:trHeight w:val="87"/>
          <w:jc w:val="center"/>
        </w:trPr>
        <w:tc>
          <w:tcPr>
            <w:tcW w:w="2676" w:type="pct"/>
            <w:shd w:val="clear" w:color="auto" w:fill="F2F2F2"/>
            <w:vAlign w:val="center"/>
          </w:tcPr>
          <w:p w14:paraId="14485077" w14:textId="77777777" w:rsidR="00AB7EE9" w:rsidRPr="00101B83" w:rsidRDefault="00AB7EE9" w:rsidP="00521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Objetivo Priorizado</w:t>
            </w:r>
          </w:p>
        </w:tc>
        <w:tc>
          <w:tcPr>
            <w:tcW w:w="2324" w:type="pct"/>
            <w:shd w:val="clear" w:color="auto" w:fill="F2F2F2"/>
            <w:vAlign w:val="center"/>
          </w:tcPr>
          <w:p w14:paraId="3543A8E4" w14:textId="77777777" w:rsidR="00AB7EE9" w:rsidRPr="00101B83" w:rsidRDefault="00AB7EE9" w:rsidP="00521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Habilidades</w:t>
            </w:r>
          </w:p>
        </w:tc>
      </w:tr>
      <w:tr w:rsidR="00AB7EE9" w:rsidRPr="00101B83" w14:paraId="4FCD650A" w14:textId="77777777" w:rsidTr="00521D9E">
        <w:trPr>
          <w:trHeight w:val="795"/>
          <w:jc w:val="center"/>
        </w:trPr>
        <w:tc>
          <w:tcPr>
            <w:tcW w:w="2676" w:type="pct"/>
            <w:vAlign w:val="center"/>
          </w:tcPr>
          <w:p w14:paraId="13196C60" w14:textId="7A43BBE0" w:rsidR="00AB7EE9" w:rsidRPr="002C718C" w:rsidRDefault="002C718C" w:rsidP="00AB7E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s-ES_tradnl" w:eastAsia="es-ES_tradnl"/>
              </w:rPr>
            </w:pPr>
            <w:r w:rsidRPr="002C718C">
              <w:rPr>
                <w:rFonts w:ascii="Times New Roman" w:hAnsi="Times New Roman" w:cs="Times New Roman"/>
                <w:b/>
                <w:sz w:val="24"/>
                <w:szCs w:val="24"/>
              </w:rPr>
              <w:t>OA</w:t>
            </w:r>
            <w:r w:rsidRPr="002C718C">
              <w:rPr>
                <w:rFonts w:ascii="Times New Roman" w:hAnsi="Times New Roman" w:cs="Times New Roman"/>
                <w:b/>
                <w:sz w:val="24"/>
                <w:szCs w:val="24"/>
              </w:rPr>
              <w:t>18:</w:t>
            </w:r>
            <w:r w:rsidRPr="002C718C">
              <w:rPr>
                <w:rFonts w:ascii="Times New Roman" w:hAnsi="Times New Roman" w:cs="Times New Roman"/>
                <w:sz w:val="24"/>
                <w:szCs w:val="24"/>
              </w:rPr>
              <w:t xml:space="preserve"> Analizar las principales transformaciones de la sociedad en el cambio de siglo, considerando los factores que originaron la cuestión social y sus características, la emergencia de nuevas demandas de los sectores populares y las nuevas formas de lucha obrera, la transformación ideológica de los partidos políticos, y el creciente protagonismo de los sectores medios.</w:t>
            </w:r>
          </w:p>
        </w:tc>
        <w:tc>
          <w:tcPr>
            <w:tcW w:w="2324" w:type="pct"/>
            <w:vAlign w:val="center"/>
          </w:tcPr>
          <w:p w14:paraId="515F4B02" w14:textId="77777777" w:rsidR="00AB7EE9" w:rsidRPr="00101B83" w:rsidRDefault="00AB7EE9" w:rsidP="00521D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Conocer, Aplicar, Analizar, Fundamentar y Evaluar</w:t>
            </w:r>
          </w:p>
        </w:tc>
      </w:tr>
      <w:tr w:rsidR="00AB7EE9" w:rsidRPr="00101B83" w14:paraId="47F64E03" w14:textId="77777777" w:rsidTr="00521D9E">
        <w:trPr>
          <w:trHeight w:val="183"/>
          <w:jc w:val="center"/>
        </w:trPr>
        <w:tc>
          <w:tcPr>
            <w:tcW w:w="2676" w:type="pct"/>
            <w:shd w:val="clear" w:color="auto" w:fill="F2F2F2" w:themeFill="background1" w:themeFillShade="F2"/>
            <w:vAlign w:val="center"/>
          </w:tcPr>
          <w:p w14:paraId="15AA1E41" w14:textId="639CEA26" w:rsidR="00AB7EE9" w:rsidRPr="00101B83" w:rsidRDefault="00AB7EE9" w:rsidP="00521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Contenido</w:t>
            </w:r>
          </w:p>
        </w:tc>
        <w:tc>
          <w:tcPr>
            <w:tcW w:w="2324" w:type="pct"/>
            <w:shd w:val="clear" w:color="auto" w:fill="F2F2F2" w:themeFill="background1" w:themeFillShade="F2"/>
            <w:vAlign w:val="center"/>
          </w:tcPr>
          <w:p w14:paraId="3A57737D" w14:textId="77777777" w:rsidR="00AB7EE9" w:rsidRPr="00101B83" w:rsidRDefault="00AB7EE9" w:rsidP="00521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Correo Electrónico Docente</w:t>
            </w:r>
          </w:p>
        </w:tc>
      </w:tr>
      <w:tr w:rsidR="00AB7EE9" w:rsidRPr="00101B83" w14:paraId="4C2B8253" w14:textId="77777777" w:rsidTr="00521D9E">
        <w:trPr>
          <w:trHeight w:val="274"/>
          <w:jc w:val="center"/>
        </w:trPr>
        <w:tc>
          <w:tcPr>
            <w:tcW w:w="2676" w:type="pct"/>
            <w:vAlign w:val="center"/>
          </w:tcPr>
          <w:p w14:paraId="4F1BAD7E" w14:textId="17C8F039" w:rsidR="00AB7EE9" w:rsidRPr="00101B83" w:rsidRDefault="002C718C" w:rsidP="00521D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El impacto de la economía del salitre </w:t>
            </w:r>
            <w:r w:rsidR="00A23AAC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en Chile</w:t>
            </w:r>
          </w:p>
        </w:tc>
        <w:tc>
          <w:tcPr>
            <w:tcW w:w="2324" w:type="pct"/>
            <w:vAlign w:val="center"/>
          </w:tcPr>
          <w:p w14:paraId="73DBA3E5" w14:textId="77777777" w:rsidR="00AB7EE9" w:rsidRPr="00101B83" w:rsidRDefault="00682D79" w:rsidP="00521D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hyperlink r:id="rId7" w:history="1">
              <w:r w:rsidR="00AB7EE9" w:rsidRPr="00101B83">
                <w:rPr>
                  <w:rStyle w:val="Hipervnculo"/>
                  <w:rFonts w:ascii="Times New Roman" w:eastAsia="Times New Roman" w:hAnsi="Times New Roman" w:cs="Times New Roman"/>
                  <w:sz w:val="24"/>
                  <w:szCs w:val="24"/>
                  <w:lang w:val="es-MX" w:eastAsia="es-MX"/>
                </w:rPr>
                <w:t>mparraguez@sanfernandocollege.cl</w:t>
              </w:r>
            </w:hyperlink>
            <w:r w:rsidR="00AB7EE9" w:rsidRPr="00101B8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 </w:t>
            </w:r>
          </w:p>
        </w:tc>
      </w:tr>
    </w:tbl>
    <w:p w14:paraId="75196C1F" w14:textId="77777777" w:rsidR="002C718C" w:rsidRPr="002C718C" w:rsidRDefault="002C718C" w:rsidP="002C71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DA0000"/>
          <w:sz w:val="24"/>
          <w:szCs w:val="24"/>
          <w:lang w:val="es-ES_tradnl"/>
        </w:rPr>
      </w:pPr>
    </w:p>
    <w:p w14:paraId="2F8A3DBB" w14:textId="67184E13" w:rsidR="002C718C" w:rsidRPr="00A23AAC" w:rsidRDefault="00A23AAC" w:rsidP="00A23AAC">
      <w:pPr>
        <w:pStyle w:val="Prrafodelista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</w:pPr>
      <w:r w:rsidRPr="00A23AAC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  <w:t>CARACTERÍSTICAS DE LA ACTIVIDAD SALITRERA</w:t>
      </w:r>
    </w:p>
    <w:p w14:paraId="2A780BF7" w14:textId="39B427FE" w:rsidR="00A23AAC" w:rsidRDefault="00A23AAC" w:rsidP="00A23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DA0000"/>
          <w:sz w:val="24"/>
          <w:szCs w:val="24"/>
          <w:lang w:val="es-ES_tradnl"/>
        </w:rPr>
      </w:pPr>
    </w:p>
    <w:p w14:paraId="289931C1" w14:textId="4F6F1CC1" w:rsidR="00145BD1" w:rsidRDefault="00145BD1" w:rsidP="00A23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145BD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drawing>
          <wp:anchor distT="0" distB="0" distL="114300" distR="114300" simplePos="0" relativeHeight="251660288" behindDoc="0" locked="0" layoutInCell="1" allowOverlap="1" wp14:anchorId="57805A69" wp14:editId="68397A0C">
            <wp:simplePos x="0" y="0"/>
            <wp:positionH relativeFrom="column">
              <wp:posOffset>3216910</wp:posOffset>
            </wp:positionH>
            <wp:positionV relativeFrom="paragraph">
              <wp:posOffset>87630</wp:posOffset>
            </wp:positionV>
            <wp:extent cx="3086735" cy="2512695"/>
            <wp:effectExtent l="0" t="0" r="12065" b="1905"/>
            <wp:wrapTight wrapText="bothSides">
              <wp:wrapPolygon edited="0">
                <wp:start x="0" y="0"/>
                <wp:lineTo x="0" y="21398"/>
                <wp:lineTo x="21507" y="21398"/>
                <wp:lineTo x="21507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En el mercado internacional, el salitre era valorado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por sus propiedades como fertilizante agrícola y materia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prima en la fabricación de pólvora. Esto hizo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que fuese altamente demandado por los países industrializados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y las potencias de la época. En Chile,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su explotación estuvo marcada por aspectos como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los siguientes:</w:t>
      </w:r>
    </w:p>
    <w:p w14:paraId="6F7CB381" w14:textId="6C167AC6" w:rsidR="002C718C" w:rsidRPr="00145BD1" w:rsidRDefault="002C718C" w:rsidP="00A23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5C373A47" w14:textId="6B547AE0" w:rsidR="002C718C" w:rsidRPr="00A23AAC" w:rsidRDefault="00145BD1" w:rsidP="00A23AAC">
      <w:pPr>
        <w:pStyle w:val="Prrafodelista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145BD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drawing>
          <wp:anchor distT="0" distB="0" distL="114300" distR="114300" simplePos="0" relativeHeight="251661312" behindDoc="0" locked="0" layoutInCell="1" allowOverlap="1" wp14:anchorId="321CC35A" wp14:editId="2DAD8FCB">
            <wp:simplePos x="0" y="0"/>
            <wp:positionH relativeFrom="column">
              <wp:posOffset>3217545</wp:posOffset>
            </wp:positionH>
            <wp:positionV relativeFrom="paragraph">
              <wp:posOffset>1313180</wp:posOffset>
            </wp:positionV>
            <wp:extent cx="2992755" cy="1831340"/>
            <wp:effectExtent l="0" t="0" r="4445" b="0"/>
            <wp:wrapTight wrapText="bothSides">
              <wp:wrapPolygon edited="0">
                <wp:start x="0" y="0"/>
                <wp:lineTo x="0" y="21270"/>
                <wp:lineTo x="21449" y="21270"/>
                <wp:lineTo x="2144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18C" w:rsidRPr="00A23AAC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  <w:t>Las oficinas salitreras</w:t>
      </w:r>
      <w:r w:rsidR="002C718C" w:rsidRPr="00A23AAC">
        <w:rPr>
          <w:rFonts w:ascii="Times New Roman" w:hAnsi="Times New Roman" w:cs="Times New Roman"/>
          <w:color w:val="DD1A1A"/>
          <w:sz w:val="24"/>
          <w:szCs w:val="24"/>
          <w:lang w:val="es-ES_tradnl"/>
        </w:rPr>
        <w:t xml:space="preserve">. 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Para extraer el salitre, ubicado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mayormente en las pampas del desierto de Atacama,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fue necesario construir grandes asentamientos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que acogieran a los trabajadores y administrativos.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Estos lugares, llamados “oficinas salitreras”, constituyeron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espacios productivos, comerciales y habitacionales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con dinámicas económicas y laborales propias.</w:t>
      </w:r>
    </w:p>
    <w:p w14:paraId="52286A87" w14:textId="5EBF48B0" w:rsidR="002C718C" w:rsidRPr="00A23AAC" w:rsidRDefault="002C718C" w:rsidP="00A23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DD1A1A"/>
          <w:sz w:val="24"/>
          <w:szCs w:val="24"/>
          <w:lang w:val="es-ES_tradnl"/>
        </w:rPr>
      </w:pPr>
    </w:p>
    <w:p w14:paraId="443EA06D" w14:textId="0CC9CA54" w:rsidR="002C718C" w:rsidRDefault="00145BD1" w:rsidP="00A23AAC">
      <w:pPr>
        <w:pStyle w:val="Prrafodelista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145BD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drawing>
          <wp:anchor distT="0" distB="0" distL="114300" distR="114300" simplePos="0" relativeHeight="251662336" behindDoc="0" locked="0" layoutInCell="1" allowOverlap="1" wp14:anchorId="0F27820A" wp14:editId="00F875CF">
            <wp:simplePos x="0" y="0"/>
            <wp:positionH relativeFrom="column">
              <wp:posOffset>3216910</wp:posOffset>
            </wp:positionH>
            <wp:positionV relativeFrom="paragraph">
              <wp:posOffset>1678940</wp:posOffset>
            </wp:positionV>
            <wp:extent cx="2974340" cy="1931670"/>
            <wp:effectExtent l="0" t="0" r="0" b="0"/>
            <wp:wrapTight wrapText="bothSides">
              <wp:wrapPolygon edited="0">
                <wp:start x="0" y="0"/>
                <wp:lineTo x="0" y="21302"/>
                <wp:lineTo x="21397" y="21302"/>
                <wp:lineTo x="21397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18C" w:rsidRPr="00A23AAC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  <w:t>La inversión chilena y extranjera</w:t>
      </w:r>
      <w:r w:rsidR="002C718C" w:rsidRPr="00A23AAC">
        <w:rPr>
          <w:rFonts w:ascii="Times New Roman" w:hAnsi="Times New Roman" w:cs="Times New Roman"/>
          <w:color w:val="DD1A1A"/>
          <w:sz w:val="24"/>
          <w:szCs w:val="24"/>
          <w:lang w:val="es-ES_tradnl"/>
        </w:rPr>
        <w:t xml:space="preserve">. 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Desde 1840,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los propietarios de las salitreras obtenían bonos por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parte del Estado peruano para la explotación de este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mineral. Sin embargo, cuando los territorios pasaron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 ser parte de Chile, luego de la guerra del Pacífico,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sus propietarios vendieron estos certificados a empresarios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privados extranjeros y el Estado chileno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comenzó a recaudar ganancias mediante el cobro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2C718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 un impuesto a su exportación.</w:t>
      </w:r>
    </w:p>
    <w:p w14:paraId="08E8FBC3" w14:textId="08D920BE" w:rsidR="002C718C" w:rsidRPr="00A23AAC" w:rsidRDefault="002C718C" w:rsidP="00A23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DD1A1A"/>
          <w:sz w:val="24"/>
          <w:szCs w:val="24"/>
          <w:lang w:val="es-ES_tradnl"/>
        </w:rPr>
      </w:pPr>
    </w:p>
    <w:p w14:paraId="7509291D" w14:textId="549D0F57" w:rsidR="002C718C" w:rsidRPr="00A23AAC" w:rsidRDefault="002C718C" w:rsidP="00A23AAC">
      <w:pPr>
        <w:pStyle w:val="Prrafodelista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A23AAC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  <w:t xml:space="preserve">La migración de la mano de obra.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riqueza del</w:t>
      </w:r>
      <w:r w:rsidR="00A23AA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salitre fue un foco de atracción para una parte importante</w:t>
      </w:r>
      <w:r w:rsidR="00A23AA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 la población del centro y sur del país,</w:t>
      </w:r>
      <w:r w:rsidR="00A23AA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que emigró hacia las provincias del Norte Grande</w:t>
      </w:r>
      <w:r w:rsidR="00A23AA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para emplearse en labores vinculadas con la industria</w:t>
      </w:r>
      <w:r w:rsidR="00A23AA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salitrera.</w:t>
      </w:r>
    </w:p>
    <w:p w14:paraId="59A9AE9D" w14:textId="0072B3D7" w:rsidR="00A23AAC" w:rsidRDefault="00A23AAC" w:rsidP="00A23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502CF761" w14:textId="77777777" w:rsidR="00145BD1" w:rsidRDefault="00145BD1" w:rsidP="00A23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42B809A5" w14:textId="77777777" w:rsidR="00145BD1" w:rsidRDefault="00145BD1" w:rsidP="00A23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2956C96C" w14:textId="48EE220F" w:rsidR="00145BD1" w:rsidRPr="00A23AAC" w:rsidRDefault="00145BD1" w:rsidP="00A23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7C5EBCAB" w14:textId="6D6662B4" w:rsidR="00A23AAC" w:rsidRPr="00A23AAC" w:rsidRDefault="00A23AAC" w:rsidP="00A23AAC">
      <w:pPr>
        <w:pStyle w:val="Prrafodelista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</w:pPr>
      <w:r w:rsidRPr="00A23AAC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  <w:t>EL IMPACTO ECONÓMICO DEL SALITRE</w:t>
      </w:r>
    </w:p>
    <w:p w14:paraId="5439FE16" w14:textId="44F71932" w:rsidR="00A23AAC" w:rsidRPr="00A23AAC" w:rsidRDefault="00A23AAC" w:rsidP="00A23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DA0000"/>
          <w:sz w:val="24"/>
          <w:szCs w:val="24"/>
          <w:lang w:val="es-ES_tradnl"/>
        </w:rPr>
      </w:pPr>
    </w:p>
    <w:p w14:paraId="56CC4091" w14:textId="0312336A" w:rsidR="00145BD1" w:rsidRDefault="00A23AAC" w:rsidP="00A23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Actualmente existe consenso entre los historiadores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en plantear que la riqueza del salitre produjo una significativa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elevación de los ingresos fiscales, estimuló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el crecimiento de los distintos sectores productivos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del país, fomentó las inversiones en infraestructura y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educación, entre otros aspectos.</w:t>
      </w:r>
    </w:p>
    <w:p w14:paraId="69D1C808" w14:textId="58FE733F" w:rsidR="00A23AAC" w:rsidRPr="00145BD1" w:rsidRDefault="00145BD1" w:rsidP="00A23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145BD1">
        <w:rPr>
          <w:rFonts w:ascii="Times New Roman" w:hAnsi="Times New Roman" w:cs="Times New Roman"/>
          <w:color w:val="DD1A1A"/>
          <w:sz w:val="24"/>
          <w:szCs w:val="24"/>
          <w:lang w:val="es-ES_tradnl"/>
        </w:rPr>
        <w:drawing>
          <wp:anchor distT="0" distB="0" distL="114300" distR="114300" simplePos="0" relativeHeight="251663360" behindDoc="0" locked="0" layoutInCell="1" allowOverlap="1" wp14:anchorId="27480911" wp14:editId="6F85DE29">
            <wp:simplePos x="0" y="0"/>
            <wp:positionH relativeFrom="column">
              <wp:posOffset>-635</wp:posOffset>
            </wp:positionH>
            <wp:positionV relativeFrom="paragraph">
              <wp:posOffset>177165</wp:posOffset>
            </wp:positionV>
            <wp:extent cx="2677160" cy="1780540"/>
            <wp:effectExtent l="0" t="0" r="0" b="0"/>
            <wp:wrapTight wrapText="bothSides">
              <wp:wrapPolygon edited="0">
                <wp:start x="0" y="0"/>
                <wp:lineTo x="0" y="21261"/>
                <wp:lineTo x="21313" y="21261"/>
                <wp:lineTo x="21313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F3924" w14:textId="2C8A5ACC" w:rsidR="00A23AAC" w:rsidRPr="00A23AAC" w:rsidRDefault="00A23AAC" w:rsidP="00A23AAC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A23AAC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  <w:t>Aumento del ingreso fiscal</w:t>
      </w:r>
      <w:r w:rsidRPr="00A23AAC">
        <w:rPr>
          <w:rFonts w:ascii="Times New Roman" w:hAnsi="Times New Roman" w:cs="Times New Roman"/>
          <w:color w:val="DD1A1A"/>
          <w:sz w:val="24"/>
          <w:szCs w:val="24"/>
          <w:lang w:val="es-ES_tradnl"/>
        </w:rPr>
        <w:t xml:space="preserve">.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 pesar de dejar la explotación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del salitre en manos de inversionistas privados,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el Estado chileno continuaba siendo dueño de las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tierras en donde se llevaba a cabo la producción. Por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esto,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cobraba un impuesto cuyo valor correspondía a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un tercio de la producción. Prontamente, el salitre se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convirtió en la principal fuente de ingresos estatales.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Hacia 1910, más del 50 % del total de las entradas fiscales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provenía del impuesto salitrero.</w:t>
      </w:r>
    </w:p>
    <w:p w14:paraId="64F28A9F" w14:textId="10524C37" w:rsidR="00A23AAC" w:rsidRDefault="00A23AAC" w:rsidP="00A23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DD1A1A"/>
          <w:sz w:val="24"/>
          <w:szCs w:val="24"/>
          <w:lang w:val="es-ES_tradnl"/>
        </w:rPr>
      </w:pPr>
    </w:p>
    <w:p w14:paraId="61A02D80" w14:textId="33EB0257" w:rsidR="00145BD1" w:rsidRPr="00A23AAC" w:rsidRDefault="00145BD1" w:rsidP="00A23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DD1A1A"/>
          <w:sz w:val="24"/>
          <w:szCs w:val="24"/>
          <w:lang w:val="es-ES_tradnl"/>
        </w:rPr>
      </w:pPr>
    </w:p>
    <w:p w14:paraId="0D85E283" w14:textId="03137242" w:rsidR="00A23AAC" w:rsidRDefault="00145BD1" w:rsidP="00A23AAC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145BD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drawing>
          <wp:anchor distT="0" distB="0" distL="114300" distR="114300" simplePos="0" relativeHeight="251664384" behindDoc="0" locked="0" layoutInCell="1" allowOverlap="1" wp14:anchorId="04927BE7" wp14:editId="1D6590C3">
            <wp:simplePos x="0" y="0"/>
            <wp:positionH relativeFrom="column">
              <wp:posOffset>16510</wp:posOffset>
            </wp:positionH>
            <wp:positionV relativeFrom="paragraph">
              <wp:posOffset>27940</wp:posOffset>
            </wp:positionV>
            <wp:extent cx="2629535" cy="1688465"/>
            <wp:effectExtent l="0" t="0" r="12065" b="0"/>
            <wp:wrapTight wrapText="bothSides">
              <wp:wrapPolygon edited="0">
                <wp:start x="0" y="0"/>
                <wp:lineTo x="0" y="21121"/>
                <wp:lineTo x="21490" y="21121"/>
                <wp:lineTo x="21490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AAC" w:rsidRPr="00A23AAC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  <w:t>Desarrollo de otros sectores productivos</w:t>
      </w:r>
      <w:r w:rsidR="00A23AAC" w:rsidRPr="00A23AAC">
        <w:rPr>
          <w:rFonts w:ascii="Times New Roman" w:hAnsi="Times New Roman" w:cs="Times New Roman"/>
          <w:color w:val="DD1A1A"/>
          <w:sz w:val="24"/>
          <w:szCs w:val="24"/>
          <w:lang w:val="es-ES_tradnl"/>
        </w:rPr>
        <w:t xml:space="preserve">. </w:t>
      </w:r>
      <w:r w:rsidR="00A23AA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el auge de la</w:t>
      </w:r>
      <w:r w:rsidR="00A23AA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A23AA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economía salitrera también estimuló el crecimiento</w:t>
      </w:r>
      <w:r w:rsidR="00A23AA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A23AA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 distintos sectores productivos del país. Según</w:t>
      </w:r>
      <w:r w:rsidR="00A23AA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A23AA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esta interpretación, la explotación salitrera generó un</w:t>
      </w:r>
      <w:r w:rsidR="00A23AA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A23AA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efecto dinamizador en el conjunto de la economía</w:t>
      </w:r>
      <w:r w:rsidR="00A23AA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A23AA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chilena, lo que permitió la expansión del capitalismo</w:t>
      </w:r>
      <w:r w:rsidR="00A23AA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A23AA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chileno que se venía desarrollando desde mediados</w:t>
      </w:r>
      <w:r w:rsidR="00A23AA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A23AA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del siglo XIX. Los sectores productivos más impulsados</w:t>
      </w:r>
      <w:r w:rsidR="00A23AA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A23AAC"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fueron los siguientes:</w:t>
      </w:r>
    </w:p>
    <w:p w14:paraId="034EFDFB" w14:textId="188CB2D5" w:rsidR="00A23AAC" w:rsidRDefault="00A23AAC" w:rsidP="00A23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3498195F" w14:textId="1E404297" w:rsidR="00145BD1" w:rsidRDefault="00145BD1" w:rsidP="00A23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4A12110D" w14:textId="64B8C28A" w:rsidR="00145BD1" w:rsidRPr="00A23AAC" w:rsidRDefault="00145BD1" w:rsidP="00A23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DD1A1A"/>
          <w:sz w:val="24"/>
          <w:szCs w:val="24"/>
          <w:lang w:val="es-ES_tradnl"/>
        </w:rPr>
      </w:pPr>
    </w:p>
    <w:p w14:paraId="29529687" w14:textId="516D182E" w:rsidR="00A23AAC" w:rsidRPr="00A23AAC" w:rsidRDefault="00A23AAC" w:rsidP="00A23AAC">
      <w:pPr>
        <w:pStyle w:val="Prrafodelista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A23AAC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  <w:t>La agricultura y la ganadería.</w:t>
      </w:r>
      <w:r w:rsidRPr="00A23AAC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Debieron cubrir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creciente demanda de alimentos originada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por el desplazamiento de población hacia el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Norte Grande. Para dar abasto, se incorporaron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nuevos cultivos y nuevas razas ganaderas, y se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intensificó la explotación en zonas como La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Araucanía, Llanquihue y Magallanes, incorporados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al control del Estado </w:t>
      </w:r>
    </w:p>
    <w:p w14:paraId="26A6EDA2" w14:textId="0E05C38A" w:rsidR="00A23AAC" w:rsidRPr="00A23AAC" w:rsidRDefault="00A23AAC" w:rsidP="00A23AAC">
      <w:pPr>
        <w:pStyle w:val="Prrafodelista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A23AAC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  <w:t>La manufactura.</w:t>
      </w:r>
      <w:r w:rsidRPr="00A23AAC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Para apoyar la actividad manufacturera,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en 1883 se fundó la Sociedad de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Fomento Fabril (Sofofa), cuyo objetivo fue reunir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 los empresarios industriales y apoyar al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Estado en el desarrollo de este sector.</w:t>
      </w:r>
    </w:p>
    <w:p w14:paraId="0B0F9208" w14:textId="28BBEB8D" w:rsidR="00A23AAC" w:rsidRPr="00145BD1" w:rsidRDefault="00A23AAC" w:rsidP="00A23AAC">
      <w:pPr>
        <w:pStyle w:val="Prrafodelista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A23AAC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  <w:t>El comercio</w:t>
      </w:r>
      <w:r w:rsidRPr="00A23AAC">
        <w:rPr>
          <w:rFonts w:ascii="Times New Roman" w:hAnsi="Times New Roman" w:cs="Times New Roman"/>
          <w:color w:val="DD1A1A"/>
          <w:sz w:val="24"/>
          <w:szCs w:val="24"/>
          <w:lang w:val="es-ES_tradnl"/>
        </w:rPr>
        <w:t xml:space="preserve">.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El intercambio comercial interno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y externo llevó a la creación de nuevas instituciones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financieras, como la Bolsa de Comercio de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A23A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Santiago, en 1873, y el Banco de Chile, en 1893.</w:t>
      </w:r>
      <w:bookmarkStart w:id="0" w:name="_GoBack"/>
      <w:bookmarkEnd w:id="0"/>
    </w:p>
    <w:p w14:paraId="6F61E3B7" w14:textId="6418B351" w:rsidR="00A23AAC" w:rsidRPr="00A23AAC" w:rsidRDefault="00145BD1" w:rsidP="00A23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145BD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drawing>
          <wp:anchor distT="0" distB="0" distL="114300" distR="114300" simplePos="0" relativeHeight="251667456" behindDoc="0" locked="0" layoutInCell="1" allowOverlap="1" wp14:anchorId="4BA4835F" wp14:editId="4A00864B">
            <wp:simplePos x="0" y="0"/>
            <wp:positionH relativeFrom="column">
              <wp:posOffset>1049020</wp:posOffset>
            </wp:positionH>
            <wp:positionV relativeFrom="paragraph">
              <wp:posOffset>27940</wp:posOffset>
            </wp:positionV>
            <wp:extent cx="4456430" cy="2928620"/>
            <wp:effectExtent l="0" t="0" r="0" b="0"/>
            <wp:wrapTight wrapText="bothSides">
              <wp:wrapPolygon edited="0">
                <wp:start x="0" y="0"/>
                <wp:lineTo x="0" y="21356"/>
                <wp:lineTo x="21421" y="21356"/>
                <wp:lineTo x="21421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43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3AAC" w:rsidRPr="00A23AAC" w:rsidSect="00AB7EE9">
      <w:headerReference w:type="default" r:id="rId14"/>
      <w:footerReference w:type="even" r:id="rId15"/>
      <w:footerReference w:type="default" r:id="rId16"/>
      <w:pgSz w:w="12240" w:h="18720" w:code="14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9330F4" w14:textId="77777777" w:rsidR="00682D79" w:rsidRDefault="00682D79" w:rsidP="00AB7EE9">
      <w:pPr>
        <w:spacing w:after="0" w:line="240" w:lineRule="auto"/>
      </w:pPr>
      <w:r>
        <w:separator/>
      </w:r>
    </w:p>
  </w:endnote>
  <w:endnote w:type="continuationSeparator" w:id="0">
    <w:p w14:paraId="7E8A1E70" w14:textId="77777777" w:rsidR="00682D79" w:rsidRDefault="00682D79" w:rsidP="00AB7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771FB4" w14:textId="77777777" w:rsidR="00A133D5" w:rsidRDefault="00A133D5" w:rsidP="00763F4C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3083194" w14:textId="77777777" w:rsidR="00A133D5" w:rsidRDefault="00A133D5" w:rsidP="00A133D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018A49" w14:textId="77777777" w:rsidR="00A133D5" w:rsidRDefault="00A133D5" w:rsidP="00763F4C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82D79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11231CEA" w14:textId="77777777" w:rsidR="00A133D5" w:rsidRDefault="00A133D5" w:rsidP="00A133D5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8E91B3" w14:textId="77777777" w:rsidR="00682D79" w:rsidRDefault="00682D79" w:rsidP="00AB7EE9">
      <w:pPr>
        <w:spacing w:after="0" w:line="240" w:lineRule="auto"/>
      </w:pPr>
      <w:r>
        <w:separator/>
      </w:r>
    </w:p>
  </w:footnote>
  <w:footnote w:type="continuationSeparator" w:id="0">
    <w:p w14:paraId="468FBD2B" w14:textId="77777777" w:rsidR="00682D79" w:rsidRDefault="00682D79" w:rsidP="00AB7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FF3019" w14:textId="77777777" w:rsidR="00AB7EE9" w:rsidRPr="00560634" w:rsidRDefault="00AB7EE9" w:rsidP="00AB7EE9">
    <w:pPr>
      <w:pStyle w:val="Encabezado"/>
      <w:rPr>
        <w:rFonts w:ascii="Times New Roman" w:hAnsi="Times New Roman" w:cs="Times New Roman"/>
      </w:rPr>
    </w:pPr>
    <w:r w:rsidRPr="00560634">
      <w:rPr>
        <w:rFonts w:ascii="Times New Roman" w:hAnsi="Times New Roman" w:cs="Times New Roman"/>
        <w:noProof/>
        <w:lang w:eastAsia="es-ES_tradnl"/>
      </w:rPr>
      <w:drawing>
        <wp:anchor distT="0" distB="0" distL="114300" distR="114300" simplePos="0" relativeHeight="251659264" behindDoc="0" locked="0" layoutInCell="1" allowOverlap="1" wp14:anchorId="3FAB30AD" wp14:editId="25772BE6">
          <wp:simplePos x="0" y="0"/>
          <wp:positionH relativeFrom="column">
            <wp:posOffset>131445</wp:posOffset>
          </wp:positionH>
          <wp:positionV relativeFrom="paragraph">
            <wp:posOffset>-215900</wp:posOffset>
          </wp:positionV>
          <wp:extent cx="701040" cy="829310"/>
          <wp:effectExtent l="0" t="0" r="10160" b="8890"/>
          <wp:wrapSquare wrapText="bothSides"/>
          <wp:docPr id="6" name="Imagen 6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33" t="5405"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829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lang w:eastAsia="es-ES_tradnl"/>
      </w:rPr>
      <w:drawing>
        <wp:anchor distT="0" distB="0" distL="114300" distR="114300" simplePos="0" relativeHeight="251660288" behindDoc="0" locked="0" layoutInCell="1" allowOverlap="1" wp14:anchorId="67DBE23B" wp14:editId="7982DCCD">
          <wp:simplePos x="0" y="0"/>
          <wp:positionH relativeFrom="column">
            <wp:posOffset>4930775</wp:posOffset>
          </wp:positionH>
          <wp:positionV relativeFrom="paragraph">
            <wp:posOffset>-216535</wp:posOffset>
          </wp:positionV>
          <wp:extent cx="1257935" cy="803275"/>
          <wp:effectExtent l="0" t="0" r="12065" b="9525"/>
          <wp:wrapTight wrapText="bothSides">
            <wp:wrapPolygon edited="0">
              <wp:start x="0" y="0"/>
              <wp:lineTo x="0" y="21173"/>
              <wp:lineTo x="21371" y="21173"/>
              <wp:lineTo x="21371" y="0"/>
              <wp:lineTo x="0" y="0"/>
            </wp:wrapPolygon>
          </wp:wrapTight>
          <wp:docPr id="3" name="Imagen 3" descr="Captura%20de%20pantalla%202020-05-11%20a%20las%201.27.5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ptura%20de%20pantalla%202020-05-11%20a%20las%201.27.5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935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0634">
      <w:rPr>
        <w:rFonts w:ascii="Times New Roman" w:hAnsi="Times New Roman" w:cs="Times New Roman"/>
      </w:rPr>
      <w:t xml:space="preserve">San Fernando College </w:t>
    </w:r>
  </w:p>
  <w:p w14:paraId="10E4E269" w14:textId="77777777" w:rsidR="00AB7EE9" w:rsidRPr="00560634" w:rsidRDefault="00AB7EE9" w:rsidP="00AB7EE9">
    <w:pPr>
      <w:pStyle w:val="Encabezado"/>
      <w:rPr>
        <w:rFonts w:ascii="Times New Roman" w:hAnsi="Times New Roman" w:cs="Times New Roman"/>
        <w:lang w:val="es-MX"/>
      </w:rPr>
    </w:pPr>
    <w:r w:rsidRPr="00560634">
      <w:rPr>
        <w:rFonts w:ascii="Times New Roman" w:hAnsi="Times New Roman" w:cs="Times New Roman"/>
        <w:lang w:val="es-MX"/>
      </w:rPr>
      <w:t>Departamento Historia, Geografía y Ciencias Sociales</w:t>
    </w:r>
  </w:p>
  <w:p w14:paraId="37CE99E1" w14:textId="77777777" w:rsidR="00AB7EE9" w:rsidRDefault="00AB7EE9" w:rsidP="00AB7EE9">
    <w:pPr>
      <w:pStyle w:val="Encabezado"/>
      <w:rPr>
        <w:rFonts w:ascii="Times New Roman" w:hAnsi="Times New Roman" w:cs="Times New Roman"/>
        <w:lang w:val="es-MX"/>
      </w:rPr>
    </w:pPr>
    <w:r w:rsidRPr="00560634">
      <w:rPr>
        <w:rFonts w:ascii="Times New Roman" w:hAnsi="Times New Roman" w:cs="Times New Roman"/>
        <w:lang w:val="es-MX"/>
      </w:rPr>
      <w:t>Docente: Marcelo Parraguez Álvarez</w:t>
    </w:r>
  </w:p>
  <w:p w14:paraId="0BF22E60" w14:textId="77777777" w:rsidR="00AB7EE9" w:rsidRDefault="00AB7EE9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653A8"/>
    <w:multiLevelType w:val="hybridMultilevel"/>
    <w:tmpl w:val="3B32697A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4A7D02"/>
    <w:multiLevelType w:val="hybridMultilevel"/>
    <w:tmpl w:val="2AC4F154"/>
    <w:lvl w:ilvl="0" w:tplc="0A5EF16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50530D2"/>
    <w:multiLevelType w:val="hybridMultilevel"/>
    <w:tmpl w:val="4802F9CA"/>
    <w:lvl w:ilvl="0" w:tplc="57B66346">
      <w:start w:val="1"/>
      <w:numFmt w:val="upperLetter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5E06185"/>
    <w:multiLevelType w:val="hybridMultilevel"/>
    <w:tmpl w:val="3F70FFC4"/>
    <w:lvl w:ilvl="0" w:tplc="2AEABA0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8773B4E"/>
    <w:multiLevelType w:val="hybridMultilevel"/>
    <w:tmpl w:val="D35AB6B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3B34AD"/>
    <w:multiLevelType w:val="hybridMultilevel"/>
    <w:tmpl w:val="10307F22"/>
    <w:lvl w:ilvl="0" w:tplc="57B66346">
      <w:start w:val="1"/>
      <w:numFmt w:val="upperLetter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CE327CF"/>
    <w:multiLevelType w:val="hybridMultilevel"/>
    <w:tmpl w:val="B3A0932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AD52C7"/>
    <w:multiLevelType w:val="hybridMultilevel"/>
    <w:tmpl w:val="C7520F5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FD5B9E"/>
    <w:multiLevelType w:val="hybridMultilevel"/>
    <w:tmpl w:val="039E460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E90A26"/>
    <w:multiLevelType w:val="hybridMultilevel"/>
    <w:tmpl w:val="A8D22136"/>
    <w:lvl w:ilvl="0" w:tplc="86C47B28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8"/>
  </w:num>
  <w:num w:numId="5">
    <w:abstractNumId w:val="7"/>
  </w:num>
  <w:num w:numId="6">
    <w:abstractNumId w:val="9"/>
  </w:num>
  <w:num w:numId="7">
    <w:abstractNumId w:val="3"/>
  </w:num>
  <w:num w:numId="8">
    <w:abstractNumId w:val="5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EE9"/>
    <w:rsid w:val="000E7531"/>
    <w:rsid w:val="00145BD1"/>
    <w:rsid w:val="002C718C"/>
    <w:rsid w:val="00442776"/>
    <w:rsid w:val="005909F6"/>
    <w:rsid w:val="00624599"/>
    <w:rsid w:val="00682AD0"/>
    <w:rsid w:val="00682D79"/>
    <w:rsid w:val="0074727F"/>
    <w:rsid w:val="00A133D5"/>
    <w:rsid w:val="00A23AAC"/>
    <w:rsid w:val="00AB7EE9"/>
    <w:rsid w:val="00C01ACB"/>
    <w:rsid w:val="00D80323"/>
    <w:rsid w:val="00E60B33"/>
    <w:rsid w:val="00F45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C5DAFD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7EE9"/>
    <w:pPr>
      <w:spacing w:after="160" w:line="259" w:lineRule="auto"/>
    </w:pPr>
    <w:rPr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7EE9"/>
    <w:pPr>
      <w:tabs>
        <w:tab w:val="center" w:pos="4419"/>
        <w:tab w:val="right" w:pos="8838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AB7EE9"/>
  </w:style>
  <w:style w:type="paragraph" w:styleId="Piedepgina">
    <w:name w:val="footer"/>
    <w:basedOn w:val="Normal"/>
    <w:link w:val="PiedepginaCar"/>
    <w:uiPriority w:val="99"/>
    <w:unhideWhenUsed/>
    <w:rsid w:val="00AB7EE9"/>
    <w:pPr>
      <w:tabs>
        <w:tab w:val="center" w:pos="4419"/>
        <w:tab w:val="right" w:pos="8838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B7EE9"/>
  </w:style>
  <w:style w:type="character" w:styleId="Hipervnculo">
    <w:name w:val="Hyperlink"/>
    <w:basedOn w:val="Fuentedeprrafopredeter"/>
    <w:uiPriority w:val="99"/>
    <w:unhideWhenUsed/>
    <w:rsid w:val="00AB7EE9"/>
    <w:rPr>
      <w:color w:val="0563C1" w:themeColor="hyperlink"/>
      <w:u w:val="single"/>
    </w:rPr>
  </w:style>
  <w:style w:type="paragraph" w:customStyle="1" w:styleId="Default">
    <w:name w:val="Default"/>
    <w:rsid w:val="00AB7EE9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Prrafodelista">
    <w:name w:val="List Paragraph"/>
    <w:basedOn w:val="Normal"/>
    <w:uiPriority w:val="34"/>
    <w:qFormat/>
    <w:rsid w:val="00E60B33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A133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image" Target="media/image5.tiff"/><Relationship Id="rId13" Type="http://schemas.openxmlformats.org/officeDocument/2006/relationships/image" Target="media/image6.tiff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mparraguez@sanfernandocollege.cl" TargetMode="Externa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652</Words>
  <Characters>3592</Characters>
  <Application>Microsoft Macintosh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2</cp:revision>
  <dcterms:created xsi:type="dcterms:W3CDTF">2020-08-31T05:32:00Z</dcterms:created>
  <dcterms:modified xsi:type="dcterms:W3CDTF">2020-08-31T05:32:00Z</dcterms:modified>
</cp:coreProperties>
</file>