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39" w:rsidRPr="00655039" w:rsidRDefault="00655039" w:rsidP="00655039">
      <w:pPr>
        <w:spacing w:after="0"/>
        <w:jc w:val="both"/>
        <w:rPr>
          <w:rFonts w:ascii="Arial Narrow" w:hAnsi="Arial Narrow"/>
          <w:b/>
          <w:bCs/>
          <w:sz w:val="20"/>
          <w:szCs w:val="20"/>
        </w:rPr>
      </w:pPr>
      <w:r w:rsidRPr="00655039">
        <w:rPr>
          <w:rFonts w:ascii="Arial Narrow" w:hAnsi="Arial Narrow"/>
          <w:sz w:val="20"/>
          <w:szCs w:val="20"/>
        </w:rPr>
        <w:t xml:space="preserve">Estimadas, Estimados  estudiantes frente a lo que estamos viviendo les recomiendo la  </w:t>
      </w:r>
      <w:r w:rsidRPr="00655039">
        <w:rPr>
          <w:rFonts w:ascii="Arial Narrow" w:hAnsi="Arial Narrow"/>
          <w:b/>
          <w:bCs/>
          <w:sz w:val="20"/>
          <w:szCs w:val="20"/>
        </w:rPr>
        <w:t>Respiración diafragmática</w:t>
      </w:r>
    </w:p>
    <w:p w:rsidR="00655039" w:rsidRDefault="00655039" w:rsidP="00CF7480">
      <w:pPr>
        <w:spacing w:after="0" w:line="240" w:lineRule="auto"/>
        <w:jc w:val="both"/>
        <w:rPr>
          <w:rFonts w:ascii="Arial Narrow" w:hAnsi="Arial Narrow"/>
          <w:sz w:val="28"/>
          <w:szCs w:val="28"/>
        </w:rPr>
      </w:pPr>
      <w:r w:rsidRPr="00655039">
        <w:rPr>
          <w:rFonts w:ascii="Arial Narrow" w:hAnsi="Arial Narrow"/>
          <w:sz w:val="20"/>
          <w:szCs w:val="20"/>
        </w:rPr>
        <w:t>Cuando estamos estresados, el cuerpo necesita más oxígeno y la respiración se acelera. Pero eso no basta, la oxigenación del organismo necesita aumentar el volumen de aire que respiramos. Para conseguirlo, </w:t>
      </w:r>
      <w:r w:rsidRPr="00655039">
        <w:rPr>
          <w:rFonts w:ascii="Arial Narrow" w:hAnsi="Arial Narrow"/>
          <w:b/>
          <w:bCs/>
          <w:sz w:val="20"/>
          <w:szCs w:val="20"/>
        </w:rPr>
        <w:t>la recomendación es hacer entre 5 y 10 inspiraciones y expiraciones abdominales,</w:t>
      </w:r>
      <w:r w:rsidRPr="00655039">
        <w:rPr>
          <w:rFonts w:ascii="Arial Narrow" w:hAnsi="Arial Narrow"/>
          <w:sz w:val="20"/>
          <w:szCs w:val="20"/>
        </w:rPr>
        <w:t> de forma lenta y profunda desde el diafragma. Toma aire por la nariz y expúlsalo por la boca, y céntrate en vaciar completamente los pulmones antes de inspirar de nuevo. No hay que infravalorar las bondades de una buena respiración. Que estén</w:t>
      </w:r>
      <w:r w:rsidR="00CF7480">
        <w:rPr>
          <w:rFonts w:ascii="Arial Narrow" w:hAnsi="Arial Narrow"/>
          <w:sz w:val="20"/>
          <w:szCs w:val="20"/>
        </w:rPr>
        <w:t xml:space="preserve"> muy bien, cuídense ustedes y a </w:t>
      </w:r>
      <w:r w:rsidRPr="00655039">
        <w:rPr>
          <w:rFonts w:ascii="Arial Narrow" w:hAnsi="Arial Narrow"/>
          <w:sz w:val="20"/>
          <w:szCs w:val="20"/>
        </w:rPr>
        <w:t>sus seres queridos</w:t>
      </w:r>
      <w:r w:rsidRPr="00655039">
        <w:rPr>
          <w:rFonts w:ascii="Arial Narrow" w:hAnsi="Arial Narrow"/>
          <w:sz w:val="28"/>
          <w:szCs w:val="28"/>
        </w:rPr>
        <w:t xml:space="preserve">. </w:t>
      </w:r>
    </w:p>
    <w:tbl>
      <w:tblPr>
        <w:tblpPr w:leftFromText="141" w:rightFromText="141" w:vertAnchor="text"/>
        <w:tblW w:w="10854" w:type="dxa"/>
        <w:shd w:val="clear" w:color="auto" w:fill="FFFFFF"/>
        <w:tblCellMar>
          <w:left w:w="0" w:type="dxa"/>
          <w:right w:w="0" w:type="dxa"/>
        </w:tblCellMar>
        <w:tblLook w:val="04A0" w:firstRow="1" w:lastRow="0" w:firstColumn="1" w:lastColumn="0" w:noHBand="0" w:noVBand="1"/>
      </w:tblPr>
      <w:tblGrid>
        <w:gridCol w:w="6905"/>
        <w:gridCol w:w="3949"/>
      </w:tblGrid>
      <w:tr w:rsidR="00CF7480" w:rsidRPr="00032D1D" w:rsidTr="00806FDD">
        <w:trPr>
          <w:trHeight w:val="361"/>
        </w:trPr>
        <w:tc>
          <w:tcPr>
            <w:tcW w:w="6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CF7480" w:rsidP="00CF7480">
            <w:pPr>
              <w:rPr>
                <w:rFonts w:ascii="Arial Narrow" w:hAnsi="Arial Narrow"/>
                <w:sz w:val="20"/>
                <w:szCs w:val="20"/>
              </w:rPr>
            </w:pPr>
            <w:r w:rsidRPr="00032D1D">
              <w:rPr>
                <w:rFonts w:ascii="Arial Narrow" w:hAnsi="Arial Narrow"/>
                <w:b/>
                <w:bCs/>
                <w:sz w:val="20"/>
                <w:szCs w:val="20"/>
              </w:rPr>
              <w:t xml:space="preserve">Asignatura: </w:t>
            </w:r>
            <w:r w:rsidR="00C9471A">
              <w:rPr>
                <w:rFonts w:ascii="Arial Narrow" w:hAnsi="Arial Narrow"/>
                <w:b/>
                <w:bCs/>
                <w:sz w:val="20"/>
                <w:szCs w:val="20"/>
              </w:rPr>
              <w:t>Biología</w:t>
            </w:r>
            <w:r>
              <w:rPr>
                <w:rFonts w:ascii="Arial Narrow" w:hAnsi="Arial Narrow"/>
                <w:b/>
                <w:bCs/>
                <w:sz w:val="20"/>
                <w:szCs w:val="20"/>
              </w:rPr>
              <w:t xml:space="preserve"> Celular Y Molecular.</w:t>
            </w:r>
          </w:p>
        </w:tc>
        <w:tc>
          <w:tcPr>
            <w:tcW w:w="39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FD287F" w:rsidP="00806FDD">
            <w:pPr>
              <w:rPr>
                <w:rFonts w:ascii="Arial Narrow" w:hAnsi="Arial Narrow"/>
                <w:sz w:val="20"/>
                <w:szCs w:val="20"/>
              </w:rPr>
            </w:pPr>
            <w:r>
              <w:rPr>
                <w:rFonts w:ascii="Arial Narrow" w:hAnsi="Arial Narrow"/>
                <w:b/>
                <w:bCs/>
                <w:sz w:val="20"/>
                <w:szCs w:val="20"/>
              </w:rPr>
              <w:t>N° De La Guía: 6</w:t>
            </w:r>
          </w:p>
        </w:tc>
      </w:tr>
      <w:tr w:rsidR="00CF7480" w:rsidRPr="00032D1D" w:rsidTr="00806FDD">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FD287F" w:rsidRDefault="00CF7480" w:rsidP="00FD287F">
            <w:pPr>
              <w:rPr>
                <w:rFonts w:ascii="Arial Narrow" w:hAnsi="Arial Narrow"/>
                <w:b/>
                <w:bCs/>
                <w:sz w:val="20"/>
                <w:szCs w:val="20"/>
              </w:rPr>
            </w:pPr>
            <w:r w:rsidRPr="00032D1D">
              <w:rPr>
                <w:rFonts w:ascii="Arial Narrow" w:hAnsi="Arial Narrow"/>
                <w:b/>
                <w:bCs/>
                <w:sz w:val="20"/>
                <w:szCs w:val="20"/>
              </w:rPr>
              <w:t xml:space="preserve">Título de la Guía: </w:t>
            </w:r>
            <w:r w:rsidR="00FD287F" w:rsidRPr="00FD287F">
              <w:rPr>
                <w:rFonts w:ascii="Arial Narrow" w:hAnsi="Arial Narrow"/>
                <w:b/>
                <w:bCs/>
                <w:sz w:val="20"/>
                <w:szCs w:val="20"/>
              </w:rPr>
              <w:t xml:space="preserve"> Los métodos experimentales que permiten el estudio de las macromoléculas de la vida: historia, fundamentos y perspectivas</w:t>
            </w:r>
          </w:p>
        </w:tc>
      </w:tr>
      <w:tr w:rsidR="00CF7480" w:rsidRPr="00032D1D" w:rsidTr="00806FDD">
        <w:trPr>
          <w:trHeight w:val="361"/>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CF7480" w:rsidP="00CF7480">
            <w:pPr>
              <w:rPr>
                <w:rFonts w:ascii="Arial Narrow" w:hAnsi="Arial Narrow"/>
                <w:sz w:val="20"/>
                <w:szCs w:val="20"/>
              </w:rPr>
            </w:pPr>
            <w:r w:rsidRPr="00032D1D">
              <w:rPr>
                <w:rFonts w:ascii="Arial Narrow" w:hAnsi="Arial Narrow"/>
                <w:b/>
                <w:bCs/>
                <w:sz w:val="20"/>
                <w:szCs w:val="20"/>
              </w:rPr>
              <w:t>Objetivo de Aprendizaje (OA):</w:t>
            </w:r>
            <w:r w:rsidRPr="00032D1D">
              <w:rPr>
                <w:rFonts w:ascii="Arial Narrow" w:hAnsi="Arial Narrow"/>
                <w:b/>
                <w:sz w:val="20"/>
                <w:szCs w:val="20"/>
              </w:rPr>
              <w:t xml:space="preserve"> </w:t>
            </w:r>
            <w:r w:rsidRPr="00CF7480">
              <w:rPr>
                <w:rFonts w:ascii="Arial Narrow" w:hAnsi="Arial Narrow"/>
                <w:b/>
                <w:sz w:val="20"/>
                <w:szCs w:val="20"/>
              </w:rPr>
              <w:t xml:space="preserve">OA 2. Explicar la estructura y organización de la célula en base a </w:t>
            </w:r>
            <w:proofErr w:type="spellStart"/>
            <w:r w:rsidRPr="00CF7480">
              <w:rPr>
                <w:rFonts w:ascii="Arial Narrow" w:hAnsi="Arial Narrow"/>
                <w:b/>
                <w:sz w:val="20"/>
                <w:szCs w:val="20"/>
              </w:rPr>
              <w:t>biomoléculas</w:t>
            </w:r>
            <w:proofErr w:type="spellEnd"/>
            <w:r w:rsidRPr="00CF7480">
              <w:rPr>
                <w:rFonts w:ascii="Arial Narrow" w:hAnsi="Arial Narrow"/>
                <w:b/>
                <w:sz w:val="20"/>
                <w:szCs w:val="20"/>
              </w:rPr>
              <w:t xml:space="preserve">, membranas y </w:t>
            </w:r>
            <w:proofErr w:type="spellStart"/>
            <w:r w:rsidRPr="00CF7480">
              <w:rPr>
                <w:rFonts w:ascii="Arial Narrow" w:hAnsi="Arial Narrow"/>
                <w:b/>
                <w:sz w:val="20"/>
                <w:szCs w:val="20"/>
              </w:rPr>
              <w:t>organelos</w:t>
            </w:r>
            <w:proofErr w:type="spellEnd"/>
            <w:r w:rsidRPr="00CF7480">
              <w:rPr>
                <w:rFonts w:ascii="Arial Narrow" w:hAnsi="Arial Narrow"/>
                <w:b/>
                <w:sz w:val="20"/>
                <w:szCs w:val="20"/>
              </w:rPr>
              <w:t>, su reproducción,</w:t>
            </w:r>
          </w:p>
        </w:tc>
      </w:tr>
      <w:tr w:rsidR="00CF7480" w:rsidRPr="00032D1D" w:rsidTr="00806FDD">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CF7480" w:rsidP="00806FDD">
            <w:pPr>
              <w:rPr>
                <w:rFonts w:ascii="Arial Narrow" w:hAnsi="Arial Narrow"/>
                <w:sz w:val="20"/>
                <w:szCs w:val="20"/>
              </w:rPr>
            </w:pPr>
            <w:r w:rsidRPr="00032D1D">
              <w:rPr>
                <w:rFonts w:ascii="Arial Narrow" w:hAnsi="Arial Narrow"/>
                <w:b/>
                <w:bCs/>
                <w:sz w:val="20"/>
                <w:szCs w:val="20"/>
              </w:rPr>
              <w:t xml:space="preserve">Nombre Docente: Felipe Espina Astudillo- </w:t>
            </w:r>
          </w:p>
        </w:tc>
      </w:tr>
      <w:tr w:rsidR="00CF7480" w:rsidRPr="00032D1D" w:rsidTr="00806FDD">
        <w:trPr>
          <w:trHeight w:val="361"/>
        </w:trPr>
        <w:tc>
          <w:tcPr>
            <w:tcW w:w="6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CF7480" w:rsidP="00806FDD">
            <w:pPr>
              <w:rPr>
                <w:rFonts w:ascii="Arial Narrow" w:hAnsi="Arial Narrow"/>
                <w:sz w:val="20"/>
                <w:szCs w:val="20"/>
              </w:rPr>
            </w:pPr>
            <w:r w:rsidRPr="00032D1D">
              <w:rPr>
                <w:rFonts w:ascii="Arial Narrow" w:hAnsi="Arial Narrow"/>
                <w:b/>
                <w:bCs/>
                <w:sz w:val="20"/>
                <w:szCs w:val="20"/>
              </w:rPr>
              <w:t>Nombre Estudiante:</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CF7480" w:rsidP="00806FDD">
            <w:pPr>
              <w:rPr>
                <w:rFonts w:ascii="Arial Narrow" w:hAnsi="Arial Narrow"/>
                <w:sz w:val="20"/>
                <w:szCs w:val="20"/>
              </w:rPr>
            </w:pPr>
            <w:r w:rsidRPr="00032D1D">
              <w:rPr>
                <w:rFonts w:ascii="Arial Narrow" w:hAnsi="Arial Narrow"/>
                <w:b/>
                <w:bCs/>
                <w:sz w:val="20"/>
                <w:szCs w:val="20"/>
              </w:rPr>
              <w:t>Curso:</w:t>
            </w:r>
          </w:p>
        </w:tc>
      </w:tr>
    </w:tbl>
    <w:p w:rsidR="00030BA1" w:rsidRDefault="00655039" w:rsidP="00494E17">
      <w:pPr>
        <w:spacing w:after="0"/>
        <w:jc w:val="both"/>
        <w:rPr>
          <w:rFonts w:ascii="Arial Narrow" w:hAnsi="Arial Narrow"/>
          <w:sz w:val="20"/>
          <w:szCs w:val="20"/>
        </w:rPr>
      </w:pPr>
      <w:r w:rsidRPr="00030BA1">
        <w:rPr>
          <w:rFonts w:ascii="Arial Narrow" w:hAnsi="Arial Narrow"/>
          <w:b/>
          <w:sz w:val="20"/>
          <w:szCs w:val="20"/>
        </w:rPr>
        <w:t>Objetivo de la guía:</w:t>
      </w:r>
      <w:r w:rsidR="00FD287F">
        <w:rPr>
          <w:rFonts w:ascii="Arial Narrow" w:hAnsi="Arial Narrow"/>
          <w:b/>
          <w:sz w:val="20"/>
          <w:szCs w:val="20"/>
        </w:rPr>
        <w:t xml:space="preserve"> </w:t>
      </w:r>
      <w:r w:rsidR="00FD287F">
        <w:rPr>
          <w:rFonts w:ascii="Arial Narrow" w:hAnsi="Arial Narrow"/>
          <w:sz w:val="20"/>
          <w:szCs w:val="20"/>
        </w:rPr>
        <w:t>conocer la importancia de  la reacción en cadena de la polimerasa (PCR) mediante artículo científico.</w:t>
      </w:r>
    </w:p>
    <w:p w:rsidR="00FD287F" w:rsidRDefault="00FD287F" w:rsidP="00FD287F">
      <w:pPr>
        <w:spacing w:after="0"/>
        <w:jc w:val="both"/>
        <w:rPr>
          <w:rFonts w:ascii="Arial Narrow" w:hAnsi="Arial Narrow"/>
          <w:b/>
          <w:bCs/>
          <w:sz w:val="20"/>
          <w:szCs w:val="20"/>
        </w:rPr>
      </w:pPr>
      <w:r w:rsidRPr="00FD287F">
        <w:rPr>
          <w:rFonts w:ascii="Arial Narrow" w:hAnsi="Arial Narrow"/>
          <w:b/>
          <w:bCs/>
          <w:sz w:val="20"/>
          <w:szCs w:val="20"/>
        </w:rPr>
        <w:t>Los métodos experimentales que permiten el estudio de las macromoléculas de la vida: historia, fundamentos y perspectivas</w:t>
      </w:r>
    </w:p>
    <w:p w:rsidR="00FD287F" w:rsidRDefault="00FD287F" w:rsidP="00FD287F">
      <w:pPr>
        <w:spacing w:after="0"/>
        <w:jc w:val="both"/>
        <w:rPr>
          <w:rFonts w:ascii="Arial Narrow" w:hAnsi="Arial Narrow"/>
          <w:b/>
          <w:bCs/>
          <w:sz w:val="20"/>
          <w:szCs w:val="20"/>
        </w:rPr>
      </w:pPr>
    </w:p>
    <w:p w:rsidR="00FD287F" w:rsidRPr="00FD287F" w:rsidRDefault="00FD287F" w:rsidP="00FD287F">
      <w:pPr>
        <w:spacing w:after="0"/>
        <w:jc w:val="both"/>
        <w:rPr>
          <w:rFonts w:ascii="Arial Narrow" w:hAnsi="Arial Narrow"/>
          <w:b/>
          <w:bCs/>
          <w:sz w:val="20"/>
          <w:szCs w:val="20"/>
        </w:rPr>
      </w:pPr>
      <w:r w:rsidRPr="00FD287F">
        <w:rPr>
          <w:rFonts w:ascii="Arial Narrow" w:hAnsi="Arial Narrow"/>
          <w:b/>
          <w:bCs/>
          <w:sz w:val="20"/>
          <w:szCs w:val="20"/>
        </w:rPr>
        <w:t>Resumen</w:t>
      </w:r>
    </w:p>
    <w:p w:rsidR="00FD287F" w:rsidRPr="00FD287F" w:rsidRDefault="00FD287F" w:rsidP="00FD287F">
      <w:pPr>
        <w:spacing w:after="0"/>
        <w:jc w:val="both"/>
        <w:rPr>
          <w:rFonts w:ascii="Arial Narrow" w:hAnsi="Arial Narrow"/>
          <w:b/>
          <w:bCs/>
          <w:sz w:val="20"/>
          <w:szCs w:val="20"/>
        </w:rPr>
      </w:pPr>
    </w:p>
    <w:p w:rsidR="00FD287F" w:rsidRPr="00FD287F" w:rsidRDefault="00FD287F" w:rsidP="00FD287F">
      <w:pPr>
        <w:spacing w:after="0"/>
        <w:jc w:val="both"/>
        <w:rPr>
          <w:rFonts w:ascii="Arial Narrow" w:hAnsi="Arial Narrow"/>
          <w:bCs/>
          <w:sz w:val="20"/>
          <w:szCs w:val="20"/>
        </w:rPr>
      </w:pPr>
      <w:r w:rsidRPr="00FD287F">
        <w:rPr>
          <w:rFonts w:ascii="Arial Narrow" w:hAnsi="Arial Narrow"/>
          <w:bCs/>
          <w:sz w:val="20"/>
          <w:szCs w:val="20"/>
        </w:rPr>
        <w:t xml:space="preserve">Los ácidos nucleicos y las proteínas componen una red de </w:t>
      </w:r>
      <w:proofErr w:type="spellStart"/>
      <w:r w:rsidRPr="00FD287F">
        <w:rPr>
          <w:rFonts w:ascii="Arial Narrow" w:hAnsi="Arial Narrow"/>
          <w:bCs/>
          <w:sz w:val="20"/>
          <w:szCs w:val="20"/>
        </w:rPr>
        <w:t>biomacromoléculas</w:t>
      </w:r>
      <w:proofErr w:type="spellEnd"/>
      <w:r w:rsidRPr="00FD287F">
        <w:rPr>
          <w:rFonts w:ascii="Arial Narrow" w:hAnsi="Arial Narrow"/>
          <w:bCs/>
          <w:sz w:val="20"/>
          <w:szCs w:val="20"/>
        </w:rPr>
        <w:t xml:space="preserve"> que almacenan y transmiten la información que sustenta la vida celular. El estudio de estos mecanismos está a cargo de la biología molecular. El desarrollo de esta ciencia siempre ha ido a la par de los avances técnicos que han permitido romper barreras metodológicas para probar nuevas hipótesis. De entre los métodos disponibles para el biólogo molecular, cinco se destacan: electroforesis, secuenciación, clonación, hibridación y la reacción en cadena de la polimerasa. Su impacto se ha extendido a la genética, la medicina y las distintas ramas de la biotecnología. En esta revisión se describe la importancia histórica, los principios técnicos y las tendencias modernas de éstas cinco metodologías esenciales. La revisión tiene como objetivo ser útil tanto para los estudiantes como para los científicos profesionales que desean adquirir conocimientos avanzados sobre el valor de estos métodos en los estudios de los mecanismos moleculares que sustentan a la vida.</w:t>
      </w:r>
    </w:p>
    <w:p w:rsidR="00FD287F" w:rsidRPr="00FD287F" w:rsidRDefault="00FD287F" w:rsidP="00FD287F">
      <w:pPr>
        <w:spacing w:after="0"/>
        <w:jc w:val="both"/>
        <w:rPr>
          <w:rFonts w:ascii="Arial Narrow" w:hAnsi="Arial Narrow"/>
          <w:b/>
          <w:bCs/>
          <w:sz w:val="20"/>
          <w:szCs w:val="20"/>
        </w:rPr>
      </w:pPr>
    </w:p>
    <w:p w:rsidR="00FD287F" w:rsidRDefault="00FD287F" w:rsidP="00FD287F">
      <w:pPr>
        <w:spacing w:after="0"/>
        <w:jc w:val="both"/>
        <w:rPr>
          <w:rFonts w:ascii="Arial Narrow" w:hAnsi="Arial Narrow"/>
          <w:b/>
          <w:bCs/>
          <w:sz w:val="20"/>
          <w:szCs w:val="20"/>
        </w:rPr>
      </w:pPr>
      <w:r w:rsidRPr="00FD287F">
        <w:rPr>
          <w:rFonts w:ascii="Arial Narrow" w:hAnsi="Arial Narrow"/>
          <w:b/>
          <w:bCs/>
          <w:sz w:val="20"/>
          <w:szCs w:val="20"/>
        </w:rPr>
        <w:t xml:space="preserve">Palabras clave: </w:t>
      </w:r>
      <w:proofErr w:type="spellStart"/>
      <w:r w:rsidRPr="00FD287F">
        <w:rPr>
          <w:rFonts w:ascii="Arial Narrow" w:hAnsi="Arial Narrow"/>
          <w:b/>
          <w:bCs/>
          <w:sz w:val="20"/>
          <w:szCs w:val="20"/>
        </w:rPr>
        <w:t>biomacromoléculas</w:t>
      </w:r>
      <w:proofErr w:type="spellEnd"/>
      <w:r w:rsidRPr="00FD287F">
        <w:rPr>
          <w:rFonts w:ascii="Arial Narrow" w:hAnsi="Arial Narrow"/>
          <w:b/>
          <w:bCs/>
          <w:sz w:val="20"/>
          <w:szCs w:val="20"/>
        </w:rPr>
        <w:t xml:space="preserve">, información genética, genómica, </w:t>
      </w:r>
      <w:proofErr w:type="spellStart"/>
      <w:r w:rsidRPr="00FD287F">
        <w:rPr>
          <w:rFonts w:ascii="Arial Narrow" w:hAnsi="Arial Narrow"/>
          <w:b/>
          <w:bCs/>
          <w:sz w:val="20"/>
          <w:szCs w:val="20"/>
        </w:rPr>
        <w:t>transcriptómica</w:t>
      </w:r>
      <w:proofErr w:type="spellEnd"/>
      <w:r w:rsidRPr="00FD287F">
        <w:rPr>
          <w:rFonts w:ascii="Arial Narrow" w:hAnsi="Arial Narrow"/>
          <w:b/>
          <w:bCs/>
          <w:sz w:val="20"/>
          <w:szCs w:val="20"/>
        </w:rPr>
        <w:t xml:space="preserve">, </w:t>
      </w:r>
      <w:proofErr w:type="spellStart"/>
      <w:r w:rsidRPr="00FD287F">
        <w:rPr>
          <w:rFonts w:ascii="Arial Narrow" w:hAnsi="Arial Narrow"/>
          <w:b/>
          <w:bCs/>
          <w:sz w:val="20"/>
          <w:szCs w:val="20"/>
        </w:rPr>
        <w:t>proteómica</w:t>
      </w:r>
      <w:proofErr w:type="spellEnd"/>
      <w:r w:rsidRPr="00FD287F">
        <w:rPr>
          <w:rFonts w:ascii="Arial Narrow" w:hAnsi="Arial Narrow"/>
          <w:b/>
          <w:bCs/>
          <w:sz w:val="20"/>
          <w:szCs w:val="20"/>
        </w:rPr>
        <w:t>.</w:t>
      </w:r>
    </w:p>
    <w:p w:rsidR="00FD287F" w:rsidRDefault="00FD287F" w:rsidP="00FD287F">
      <w:pPr>
        <w:spacing w:after="0"/>
        <w:jc w:val="both"/>
        <w:rPr>
          <w:rFonts w:ascii="Arial Narrow" w:hAnsi="Arial Narrow"/>
          <w:b/>
          <w:bCs/>
          <w:sz w:val="20"/>
          <w:szCs w:val="20"/>
        </w:rPr>
      </w:pPr>
    </w:p>
    <w:p w:rsidR="00FD287F" w:rsidRPr="00FD287F" w:rsidRDefault="00FD287F" w:rsidP="00FD287F">
      <w:pPr>
        <w:spacing w:after="0"/>
        <w:jc w:val="both"/>
        <w:rPr>
          <w:rFonts w:ascii="Arial Narrow" w:hAnsi="Arial Narrow"/>
          <w:sz w:val="20"/>
          <w:szCs w:val="20"/>
        </w:rPr>
      </w:pPr>
      <w:r>
        <w:rPr>
          <w:rFonts w:ascii="Arial Narrow" w:hAnsi="Arial Narrow"/>
          <w:b/>
          <w:bCs/>
          <w:sz w:val="20"/>
          <w:szCs w:val="20"/>
        </w:rPr>
        <w:t>…</w:t>
      </w:r>
      <w:r w:rsidRPr="00FD287F">
        <w:rPr>
          <w:rFonts w:ascii="Arial Narrow" w:hAnsi="Arial Narrow"/>
          <w:b/>
          <w:bCs/>
          <w:sz w:val="20"/>
          <w:szCs w:val="20"/>
        </w:rPr>
        <w:t>7. REACCIÓN EN CADENA DE LA POLIMERASA (PCR)</w:t>
      </w:r>
    </w:p>
    <w:p w:rsidR="00FD287F" w:rsidRPr="00FD287F" w:rsidRDefault="00FD287F" w:rsidP="00FD287F">
      <w:pPr>
        <w:spacing w:after="0"/>
        <w:jc w:val="both"/>
        <w:rPr>
          <w:rFonts w:ascii="Arial Narrow" w:hAnsi="Arial Narrow"/>
          <w:sz w:val="20"/>
          <w:szCs w:val="20"/>
        </w:rPr>
      </w:pPr>
      <w:r w:rsidRPr="00FD287F">
        <w:rPr>
          <w:rFonts w:ascii="Arial Narrow" w:hAnsi="Arial Narrow"/>
          <w:sz w:val="20"/>
          <w:szCs w:val="20"/>
        </w:rPr>
        <w:t>La PCR es un método que permite la amplificación o copiado masivo </w:t>
      </w:r>
      <w:r w:rsidRPr="00FD287F">
        <w:rPr>
          <w:rFonts w:ascii="Arial Narrow" w:hAnsi="Arial Narrow"/>
          <w:i/>
          <w:iCs/>
          <w:sz w:val="20"/>
          <w:szCs w:val="20"/>
        </w:rPr>
        <w:t>in vitro</w:t>
      </w:r>
      <w:r w:rsidRPr="00FD287F">
        <w:rPr>
          <w:rFonts w:ascii="Arial Narrow" w:hAnsi="Arial Narrow"/>
          <w:sz w:val="20"/>
          <w:szCs w:val="20"/>
        </w:rPr>
        <w:t> de un fragmento específico de ADN. La longitud del fragmento copiado está indicada por dos secuencias pequeñas de ADN (llamadas oligonucleótidos) que son adicionadas a la reacción y que flanquean al fragmento que se desea amplificar. Estas secuencias pequeñas indican además el sitio desde el cual debe iniciarse la reacción de amplificación. La reacción es llevada a cabo por la ADN polimerasa.</w:t>
      </w:r>
    </w:p>
    <w:p w:rsidR="00FD287F" w:rsidRPr="00FD287F" w:rsidRDefault="00FD287F" w:rsidP="00FD287F">
      <w:pPr>
        <w:spacing w:after="0"/>
        <w:jc w:val="both"/>
        <w:rPr>
          <w:rFonts w:ascii="Arial Narrow" w:hAnsi="Arial Narrow"/>
          <w:sz w:val="20"/>
          <w:szCs w:val="20"/>
        </w:rPr>
      </w:pPr>
      <w:r w:rsidRPr="00FD287F">
        <w:rPr>
          <w:rFonts w:ascii="Arial Narrow" w:hAnsi="Arial Narrow"/>
          <w:sz w:val="20"/>
          <w:szCs w:val="20"/>
        </w:rPr>
        <w:t xml:space="preserve">Dos avances técnicos hicieron popular a la PCR. Uno fue la invención de los </w:t>
      </w:r>
      <w:proofErr w:type="spellStart"/>
      <w:r w:rsidRPr="00FD287F">
        <w:rPr>
          <w:rFonts w:ascii="Arial Narrow" w:hAnsi="Arial Narrow"/>
          <w:sz w:val="20"/>
          <w:szCs w:val="20"/>
        </w:rPr>
        <w:t>termocicladores</w:t>
      </w:r>
      <w:proofErr w:type="spellEnd"/>
      <w:r w:rsidRPr="00FD287F">
        <w:rPr>
          <w:rFonts w:ascii="Arial Narrow" w:hAnsi="Arial Narrow"/>
          <w:sz w:val="20"/>
          <w:szCs w:val="20"/>
        </w:rPr>
        <w:t xml:space="preserve"> (</w:t>
      </w:r>
      <w:proofErr w:type="spellStart"/>
      <w:r w:rsidRPr="00FD287F">
        <w:rPr>
          <w:rFonts w:ascii="Arial Narrow" w:hAnsi="Arial Narrow"/>
          <w:sz w:val="20"/>
          <w:szCs w:val="20"/>
        </w:rPr>
        <w:t>Hsieh</w:t>
      </w:r>
      <w:proofErr w:type="spellEnd"/>
      <w:r w:rsidRPr="00FD287F">
        <w:rPr>
          <w:rFonts w:ascii="Arial Narrow" w:hAnsi="Arial Narrow"/>
          <w:sz w:val="20"/>
          <w:szCs w:val="20"/>
        </w:rPr>
        <w:t xml:space="preserve"> y </w:t>
      </w:r>
      <w:proofErr w:type="spellStart"/>
      <w:r w:rsidRPr="00FD287F">
        <w:rPr>
          <w:rFonts w:ascii="Arial Narrow" w:hAnsi="Arial Narrow"/>
          <w:sz w:val="20"/>
          <w:szCs w:val="20"/>
        </w:rPr>
        <w:t>Chen</w:t>
      </w:r>
      <w:proofErr w:type="spellEnd"/>
      <w:r w:rsidRPr="00FD287F">
        <w:rPr>
          <w:rFonts w:ascii="Arial Narrow" w:hAnsi="Arial Narrow"/>
          <w:sz w:val="20"/>
          <w:szCs w:val="20"/>
        </w:rPr>
        <w:t xml:space="preserve">, 2009). Los </w:t>
      </w:r>
      <w:proofErr w:type="spellStart"/>
      <w:r w:rsidRPr="00FD287F">
        <w:rPr>
          <w:rFonts w:ascii="Arial Narrow" w:hAnsi="Arial Narrow"/>
          <w:sz w:val="20"/>
          <w:szCs w:val="20"/>
        </w:rPr>
        <w:t>termocicladores</w:t>
      </w:r>
      <w:proofErr w:type="spellEnd"/>
      <w:r w:rsidRPr="00FD287F">
        <w:rPr>
          <w:rFonts w:ascii="Arial Narrow" w:hAnsi="Arial Narrow"/>
          <w:sz w:val="20"/>
          <w:szCs w:val="20"/>
        </w:rPr>
        <w:t xml:space="preserve"> realizan automáticamente los pasos de incremento y decremento de la temperatura indispensables en la PCR (</w:t>
      </w:r>
      <w:hyperlink r:id="rId7" w:tgtFrame="_blank" w:history="1">
        <w:r w:rsidRPr="00FD287F">
          <w:rPr>
            <w:rStyle w:val="Hipervnculo"/>
            <w:rFonts w:ascii="Arial Narrow" w:hAnsi="Arial Narrow"/>
            <w:sz w:val="20"/>
            <w:szCs w:val="20"/>
          </w:rPr>
          <w:t>figura 1A</w:t>
        </w:r>
      </w:hyperlink>
      <w:r w:rsidRPr="00FD287F">
        <w:rPr>
          <w:rFonts w:ascii="Arial Narrow" w:hAnsi="Arial Narrow"/>
          <w:sz w:val="20"/>
          <w:szCs w:val="20"/>
        </w:rPr>
        <w:t>). El otro descubrimiento fue el de las ADN polimerasas termoestables (</w:t>
      </w:r>
      <w:proofErr w:type="spellStart"/>
      <w:r w:rsidRPr="00FD287F">
        <w:rPr>
          <w:rFonts w:ascii="Arial Narrow" w:hAnsi="Arial Narrow"/>
          <w:sz w:val="20"/>
          <w:szCs w:val="20"/>
        </w:rPr>
        <w:t>Chien</w:t>
      </w:r>
      <w:proofErr w:type="spellEnd"/>
      <w:r w:rsidRPr="00FD287F">
        <w:rPr>
          <w:rFonts w:ascii="Arial Narrow" w:hAnsi="Arial Narrow"/>
          <w:sz w:val="20"/>
          <w:szCs w:val="20"/>
        </w:rPr>
        <w:t> </w:t>
      </w:r>
      <w:r w:rsidRPr="00FD287F">
        <w:rPr>
          <w:rFonts w:ascii="Arial Narrow" w:hAnsi="Arial Narrow"/>
          <w:i/>
          <w:iCs/>
          <w:sz w:val="20"/>
          <w:szCs w:val="20"/>
        </w:rPr>
        <w:t>et al.,</w:t>
      </w:r>
      <w:r w:rsidRPr="00FD287F">
        <w:rPr>
          <w:rFonts w:ascii="Arial Narrow" w:hAnsi="Arial Narrow"/>
          <w:sz w:val="20"/>
          <w:szCs w:val="20"/>
        </w:rPr>
        <w:t xml:space="preserve"> 1976). Estas polimerasas toleran las temperaturas a las que se lleva a cabo una PCR. Hoy en día las variantes de polimerasas termoestables que existen en el mercado se pueden contar por decenas. Se pueden seleccionar por velocidad de síntesis, fidelidad del copiado, capacidad de sintetizar moléculas largas, tolerancia a inhibidores de reacción y por ornamentaciones adicionales que hacen a los productos (ej. </w:t>
      </w:r>
      <w:proofErr w:type="spellStart"/>
      <w:r w:rsidRPr="00FD287F">
        <w:rPr>
          <w:rFonts w:ascii="Arial Narrow" w:hAnsi="Arial Narrow"/>
          <w:sz w:val="20"/>
          <w:szCs w:val="20"/>
        </w:rPr>
        <w:t>adenilación</w:t>
      </w:r>
      <w:proofErr w:type="spellEnd"/>
      <w:r w:rsidRPr="00FD287F">
        <w:rPr>
          <w:rFonts w:ascii="Arial Narrow" w:hAnsi="Arial Narrow"/>
          <w:sz w:val="20"/>
          <w:szCs w:val="20"/>
        </w:rPr>
        <w:t xml:space="preserve"> terminal) (New </w:t>
      </w:r>
      <w:proofErr w:type="spellStart"/>
      <w:r w:rsidRPr="00FD287F">
        <w:rPr>
          <w:rFonts w:ascii="Arial Narrow" w:hAnsi="Arial Narrow"/>
          <w:sz w:val="20"/>
          <w:szCs w:val="20"/>
        </w:rPr>
        <w:t>England</w:t>
      </w:r>
      <w:proofErr w:type="spellEnd"/>
      <w:r w:rsidRPr="00FD287F">
        <w:rPr>
          <w:rFonts w:ascii="Arial Narrow" w:hAnsi="Arial Narrow"/>
          <w:sz w:val="20"/>
          <w:szCs w:val="20"/>
        </w:rPr>
        <w:t xml:space="preserve"> </w:t>
      </w:r>
      <w:proofErr w:type="spellStart"/>
      <w:r w:rsidRPr="00FD287F">
        <w:rPr>
          <w:rFonts w:ascii="Arial Narrow" w:hAnsi="Arial Narrow"/>
          <w:sz w:val="20"/>
          <w:szCs w:val="20"/>
        </w:rPr>
        <w:t>Biolabs</w:t>
      </w:r>
      <w:proofErr w:type="spellEnd"/>
      <w:r w:rsidRPr="00FD287F">
        <w:rPr>
          <w:rFonts w:ascii="Arial Narrow" w:hAnsi="Arial Narrow"/>
          <w:sz w:val="20"/>
          <w:szCs w:val="20"/>
        </w:rPr>
        <w:t>, 2011b).</w:t>
      </w:r>
    </w:p>
    <w:p w:rsidR="00FD287F" w:rsidRPr="00FD287F" w:rsidRDefault="00FD287F" w:rsidP="00FD287F">
      <w:pPr>
        <w:spacing w:after="0"/>
        <w:jc w:val="both"/>
        <w:rPr>
          <w:rFonts w:ascii="Arial Narrow" w:hAnsi="Arial Narrow"/>
          <w:sz w:val="20"/>
          <w:szCs w:val="20"/>
        </w:rPr>
      </w:pPr>
      <w:r w:rsidRPr="00FD287F">
        <w:rPr>
          <w:rFonts w:ascii="Arial Narrow" w:hAnsi="Arial Narrow"/>
          <w:sz w:val="20"/>
          <w:szCs w:val="20"/>
        </w:rPr>
        <w:t>Cada ciclo de PCR tiene tres pasos térmicos (</w:t>
      </w:r>
      <w:hyperlink r:id="rId8" w:tgtFrame="_blank" w:history="1">
        <w:r w:rsidRPr="00FD287F">
          <w:rPr>
            <w:rStyle w:val="Hipervnculo"/>
            <w:rFonts w:ascii="Arial Narrow" w:hAnsi="Arial Narrow"/>
            <w:sz w:val="20"/>
            <w:szCs w:val="20"/>
          </w:rPr>
          <w:t>figura 1A</w:t>
        </w:r>
      </w:hyperlink>
      <w:r w:rsidRPr="00FD287F">
        <w:rPr>
          <w:rFonts w:ascii="Arial Narrow" w:hAnsi="Arial Narrow"/>
          <w:sz w:val="20"/>
          <w:szCs w:val="20"/>
        </w:rPr>
        <w:t>). </w:t>
      </w:r>
      <w:r w:rsidRPr="00FD287F">
        <w:rPr>
          <w:rFonts w:ascii="Arial Narrow" w:hAnsi="Arial Narrow"/>
          <w:i/>
          <w:iCs/>
          <w:sz w:val="20"/>
          <w:szCs w:val="20"/>
        </w:rPr>
        <w:t>Desnaturalización:</w:t>
      </w:r>
      <w:r w:rsidRPr="00FD287F">
        <w:rPr>
          <w:rFonts w:ascii="Arial Narrow" w:hAnsi="Arial Narrow"/>
          <w:sz w:val="20"/>
          <w:szCs w:val="20"/>
        </w:rPr>
        <w:t> se calienta la reacción (90–94°C) para romper los puentes de hidrógeno y separar la doble cadena de ADN. </w:t>
      </w:r>
      <w:r w:rsidRPr="00FD287F">
        <w:rPr>
          <w:rFonts w:ascii="Arial Narrow" w:hAnsi="Arial Narrow"/>
          <w:i/>
          <w:iCs/>
          <w:sz w:val="20"/>
          <w:szCs w:val="20"/>
        </w:rPr>
        <w:t>Alineamiento:</w:t>
      </w:r>
      <w:r w:rsidRPr="00FD287F">
        <w:rPr>
          <w:rFonts w:ascii="Arial Narrow" w:hAnsi="Arial Narrow"/>
          <w:sz w:val="20"/>
          <w:szCs w:val="20"/>
        </w:rPr>
        <w:t xml:space="preserve"> se </w:t>
      </w:r>
      <w:proofErr w:type="spellStart"/>
      <w:r w:rsidRPr="00FD287F">
        <w:rPr>
          <w:rFonts w:ascii="Arial Narrow" w:hAnsi="Arial Narrow"/>
          <w:sz w:val="20"/>
          <w:szCs w:val="20"/>
        </w:rPr>
        <w:t>diminuye</w:t>
      </w:r>
      <w:proofErr w:type="spellEnd"/>
      <w:r w:rsidRPr="00FD287F">
        <w:rPr>
          <w:rFonts w:ascii="Arial Narrow" w:hAnsi="Arial Narrow"/>
          <w:sz w:val="20"/>
          <w:szCs w:val="20"/>
        </w:rPr>
        <w:t xml:space="preserve"> la temperatura (50–65°C) para alinear los oligonucleótidos con su molécula blanco. </w:t>
      </w:r>
      <w:r w:rsidRPr="00FD287F">
        <w:rPr>
          <w:rFonts w:ascii="Arial Narrow" w:hAnsi="Arial Narrow"/>
          <w:i/>
          <w:iCs/>
          <w:sz w:val="20"/>
          <w:szCs w:val="20"/>
        </w:rPr>
        <w:t>Extensión:</w:t>
      </w:r>
      <w:r w:rsidRPr="00FD287F">
        <w:rPr>
          <w:rFonts w:ascii="Arial Narrow" w:hAnsi="Arial Narrow"/>
          <w:sz w:val="20"/>
          <w:szCs w:val="20"/>
        </w:rPr>
        <w:t> se eleva la temperatura (68–72°C) para que la polimerasa termoestable busque su sustrato de doble cadena (ADN molde + oligonucleótido) y sintetice la nueva hebra de ADN utilizando a los nucleótidos libres en solución (</w:t>
      </w:r>
      <w:hyperlink r:id="rId9" w:tgtFrame="_blank" w:history="1">
        <w:r w:rsidRPr="00FD287F">
          <w:rPr>
            <w:rStyle w:val="Hipervnculo"/>
            <w:rFonts w:ascii="Arial Narrow" w:hAnsi="Arial Narrow"/>
            <w:sz w:val="20"/>
            <w:szCs w:val="20"/>
          </w:rPr>
          <w:t>figura 2A</w:t>
        </w:r>
      </w:hyperlink>
      <w:r w:rsidRPr="00FD287F">
        <w:rPr>
          <w:rFonts w:ascii="Arial Narrow" w:hAnsi="Arial Narrow"/>
          <w:sz w:val="20"/>
          <w:szCs w:val="20"/>
        </w:rPr>
        <w:t>) (Bartlett y Stirling, 2003).</w:t>
      </w:r>
    </w:p>
    <w:p w:rsidR="00FD287F" w:rsidRPr="00FD287F" w:rsidRDefault="00FD287F" w:rsidP="00FD287F">
      <w:pPr>
        <w:spacing w:after="0"/>
        <w:jc w:val="both"/>
        <w:rPr>
          <w:rFonts w:ascii="Arial Narrow" w:hAnsi="Arial Narrow"/>
          <w:sz w:val="20"/>
          <w:szCs w:val="20"/>
        </w:rPr>
      </w:pPr>
      <w:r w:rsidRPr="00FD287F">
        <w:rPr>
          <w:rFonts w:ascii="Arial Narrow" w:hAnsi="Arial Narrow"/>
          <w:sz w:val="20"/>
          <w:szCs w:val="20"/>
        </w:rPr>
        <w:t>Este sencillo arreglo puede ser manipulado de las maneras más ingeniosas. Los nucleótidos pueden ser modificados con grupos antigénicos o radioactivos para detectarlos por hibridación. Los oligonucleótidos pueden ser modificados con sitios de corte de ERS para poder unir moléculas antes imposibles de ensamblar. Se pueden agregar secciones prediseñadas de ADN (adaptadores) para posteriormente amplificar o secuenciar regiones desconocidas. Se puede modificar la PCR para que la polimerasa se equivoque frecuentemente en la adición de nucleótidos para generar miles de mutaciones diferentes y simular el proceso natural de la evolución (Bartlett y Stirling, 2003).</w:t>
      </w:r>
    </w:p>
    <w:p w:rsidR="00FD287F" w:rsidRPr="00FD287F" w:rsidRDefault="00FD287F" w:rsidP="00FD287F">
      <w:pPr>
        <w:spacing w:after="0"/>
        <w:jc w:val="both"/>
        <w:rPr>
          <w:rFonts w:ascii="Arial Narrow" w:hAnsi="Arial Narrow"/>
          <w:sz w:val="20"/>
          <w:szCs w:val="20"/>
        </w:rPr>
      </w:pPr>
      <w:r w:rsidRPr="00FD287F">
        <w:rPr>
          <w:rFonts w:ascii="Arial Narrow" w:hAnsi="Arial Narrow"/>
          <w:sz w:val="20"/>
          <w:szCs w:val="20"/>
        </w:rPr>
        <w:t xml:space="preserve">Una adición relevante a la PCR convencional es su acoplamiento con otra reacción enzimática llamada </w:t>
      </w:r>
      <w:proofErr w:type="spellStart"/>
      <w:r w:rsidRPr="00FD287F">
        <w:rPr>
          <w:rFonts w:ascii="Arial Narrow" w:hAnsi="Arial Narrow"/>
          <w:sz w:val="20"/>
          <w:szCs w:val="20"/>
        </w:rPr>
        <w:t>retrotranscripción</w:t>
      </w:r>
      <w:proofErr w:type="spellEnd"/>
      <w:r w:rsidRPr="00FD287F">
        <w:rPr>
          <w:rFonts w:ascii="Arial Narrow" w:hAnsi="Arial Narrow"/>
          <w:sz w:val="20"/>
          <w:szCs w:val="20"/>
        </w:rPr>
        <w:t xml:space="preserve"> (RT). En la RT se emplea a una enzima denominada </w:t>
      </w:r>
      <w:proofErr w:type="spellStart"/>
      <w:r w:rsidRPr="00FD287F">
        <w:rPr>
          <w:rFonts w:ascii="Arial Narrow" w:hAnsi="Arial Narrow"/>
          <w:sz w:val="20"/>
          <w:szCs w:val="20"/>
        </w:rPr>
        <w:t>retrotranscriptasa</w:t>
      </w:r>
      <w:proofErr w:type="spellEnd"/>
      <w:r w:rsidRPr="00FD287F">
        <w:rPr>
          <w:rFonts w:ascii="Arial Narrow" w:hAnsi="Arial Narrow"/>
          <w:sz w:val="20"/>
          <w:szCs w:val="20"/>
        </w:rPr>
        <w:t xml:space="preserve"> que posee la capacidad catalítica de sintetizar ADN a partir de ARN produciendo ADN complementario o </w:t>
      </w:r>
      <w:proofErr w:type="spellStart"/>
      <w:r w:rsidRPr="00FD287F">
        <w:rPr>
          <w:rFonts w:ascii="Arial Narrow" w:hAnsi="Arial Narrow"/>
          <w:sz w:val="20"/>
          <w:szCs w:val="20"/>
        </w:rPr>
        <w:t>cADN</w:t>
      </w:r>
      <w:proofErr w:type="spellEnd"/>
      <w:r w:rsidRPr="00FD287F">
        <w:rPr>
          <w:rFonts w:ascii="Arial Narrow" w:hAnsi="Arial Narrow"/>
          <w:sz w:val="20"/>
          <w:szCs w:val="20"/>
        </w:rPr>
        <w:t xml:space="preserve"> (Baltimore, 1970; </w:t>
      </w:r>
      <w:proofErr w:type="spellStart"/>
      <w:r w:rsidRPr="00FD287F">
        <w:rPr>
          <w:rFonts w:ascii="Arial Narrow" w:hAnsi="Arial Narrow"/>
          <w:sz w:val="20"/>
          <w:szCs w:val="20"/>
        </w:rPr>
        <w:t>Temin</w:t>
      </w:r>
      <w:proofErr w:type="spellEnd"/>
      <w:r w:rsidRPr="00FD287F">
        <w:rPr>
          <w:rFonts w:ascii="Arial Narrow" w:hAnsi="Arial Narrow"/>
          <w:sz w:val="20"/>
          <w:szCs w:val="20"/>
        </w:rPr>
        <w:t xml:space="preserve"> y </w:t>
      </w:r>
      <w:proofErr w:type="spellStart"/>
      <w:r w:rsidRPr="00FD287F">
        <w:rPr>
          <w:rFonts w:ascii="Arial Narrow" w:hAnsi="Arial Narrow"/>
          <w:sz w:val="20"/>
          <w:szCs w:val="20"/>
        </w:rPr>
        <w:t>Mizutani</w:t>
      </w:r>
      <w:proofErr w:type="spellEnd"/>
      <w:r w:rsidRPr="00FD287F">
        <w:rPr>
          <w:rFonts w:ascii="Arial Narrow" w:hAnsi="Arial Narrow"/>
          <w:sz w:val="20"/>
          <w:szCs w:val="20"/>
        </w:rPr>
        <w:t xml:space="preserve">, 1970). Cuando en la PCR el ADN molde es </w:t>
      </w:r>
      <w:proofErr w:type="spellStart"/>
      <w:r w:rsidRPr="00FD287F">
        <w:rPr>
          <w:rFonts w:ascii="Arial Narrow" w:hAnsi="Arial Narrow"/>
          <w:sz w:val="20"/>
          <w:szCs w:val="20"/>
        </w:rPr>
        <w:t>cADN</w:t>
      </w:r>
      <w:proofErr w:type="spellEnd"/>
      <w:r w:rsidRPr="00FD287F">
        <w:rPr>
          <w:rFonts w:ascii="Arial Narrow" w:hAnsi="Arial Narrow"/>
          <w:sz w:val="20"/>
          <w:szCs w:val="20"/>
        </w:rPr>
        <w:t>, la PCR se transforma en un método de amplificación indirecta del ARN (Gibson </w:t>
      </w:r>
      <w:r w:rsidRPr="00FD287F">
        <w:rPr>
          <w:rFonts w:ascii="Arial Narrow" w:hAnsi="Arial Narrow"/>
          <w:i/>
          <w:iCs/>
          <w:sz w:val="20"/>
          <w:szCs w:val="20"/>
        </w:rPr>
        <w:t>et al.,</w:t>
      </w:r>
      <w:r w:rsidRPr="00FD287F">
        <w:rPr>
          <w:rFonts w:ascii="Arial Narrow" w:hAnsi="Arial Narrow"/>
          <w:sz w:val="20"/>
          <w:szCs w:val="20"/>
        </w:rPr>
        <w:t> 1996).</w:t>
      </w:r>
    </w:p>
    <w:p w:rsidR="00FD287F" w:rsidRPr="00FD287F" w:rsidRDefault="00FD287F" w:rsidP="00FD287F">
      <w:pPr>
        <w:spacing w:after="0"/>
        <w:jc w:val="both"/>
        <w:rPr>
          <w:rFonts w:ascii="Arial Narrow" w:hAnsi="Arial Narrow"/>
          <w:sz w:val="20"/>
          <w:szCs w:val="20"/>
        </w:rPr>
      </w:pPr>
      <w:r w:rsidRPr="00FD287F">
        <w:rPr>
          <w:rFonts w:ascii="Arial Narrow" w:hAnsi="Arial Narrow"/>
          <w:sz w:val="20"/>
          <w:szCs w:val="20"/>
        </w:rPr>
        <w:t xml:space="preserve">La adición de SYBR Green como un componente de la reacción y la inclusión de un lector de fluorescencia en los </w:t>
      </w:r>
      <w:proofErr w:type="spellStart"/>
      <w:r w:rsidRPr="00FD287F">
        <w:rPr>
          <w:rFonts w:ascii="Arial Narrow" w:hAnsi="Arial Narrow"/>
          <w:sz w:val="20"/>
          <w:szCs w:val="20"/>
        </w:rPr>
        <w:t>termocicladores</w:t>
      </w:r>
      <w:proofErr w:type="spellEnd"/>
      <w:r w:rsidRPr="00FD287F">
        <w:rPr>
          <w:rFonts w:ascii="Arial Narrow" w:hAnsi="Arial Narrow"/>
          <w:sz w:val="20"/>
          <w:szCs w:val="20"/>
        </w:rPr>
        <w:t xml:space="preserve"> revolucionó la PCR (</w:t>
      </w:r>
      <w:proofErr w:type="spellStart"/>
      <w:r w:rsidRPr="00FD287F">
        <w:rPr>
          <w:rFonts w:ascii="Arial Narrow" w:hAnsi="Arial Narrow"/>
          <w:sz w:val="20"/>
          <w:szCs w:val="20"/>
        </w:rPr>
        <w:t>Bustin</w:t>
      </w:r>
      <w:proofErr w:type="spellEnd"/>
      <w:r w:rsidRPr="00FD287F">
        <w:rPr>
          <w:rFonts w:ascii="Arial Narrow" w:hAnsi="Arial Narrow"/>
          <w:sz w:val="20"/>
          <w:szCs w:val="20"/>
        </w:rPr>
        <w:t> </w:t>
      </w:r>
      <w:r w:rsidRPr="00FD287F">
        <w:rPr>
          <w:rFonts w:ascii="Arial Narrow" w:hAnsi="Arial Narrow"/>
          <w:i/>
          <w:iCs/>
          <w:sz w:val="20"/>
          <w:szCs w:val="20"/>
        </w:rPr>
        <w:t>et al.,</w:t>
      </w:r>
      <w:r w:rsidRPr="00FD287F">
        <w:rPr>
          <w:rFonts w:ascii="Arial Narrow" w:hAnsi="Arial Narrow"/>
          <w:sz w:val="20"/>
          <w:szCs w:val="20"/>
        </w:rPr>
        <w:t> 2009). De esta manera, cuando en la extensión se sintetizan moléculas nuevas de ADN, SYBR Green se intercala entre ellas emitiendo fluorescencia. La fluorescencia es directamente proporcional a la abundancia de moléculas sintetizadas, que a su vez es una medida directa del número de moléculas que se encontraban en la muestra al inicio de la PCR (</w:t>
      </w:r>
      <w:hyperlink r:id="rId10" w:tgtFrame="_blank" w:history="1">
        <w:r w:rsidRPr="00FD287F">
          <w:rPr>
            <w:rStyle w:val="Hipervnculo"/>
            <w:rFonts w:ascii="Arial Narrow" w:hAnsi="Arial Narrow"/>
            <w:sz w:val="20"/>
            <w:szCs w:val="20"/>
          </w:rPr>
          <w:t>figura 1B</w:t>
        </w:r>
      </w:hyperlink>
      <w:r w:rsidRPr="00FD287F">
        <w:rPr>
          <w:rFonts w:ascii="Arial Narrow" w:hAnsi="Arial Narrow"/>
          <w:sz w:val="20"/>
          <w:szCs w:val="20"/>
        </w:rPr>
        <w:t xml:space="preserve">). Mediante el uso de estándares de concentración </w:t>
      </w:r>
      <w:r w:rsidRPr="00FD287F">
        <w:rPr>
          <w:rFonts w:ascii="Arial Narrow" w:hAnsi="Arial Narrow"/>
          <w:sz w:val="20"/>
          <w:szCs w:val="20"/>
        </w:rPr>
        <w:lastRenderedPageBreak/>
        <w:t>conocidos o el uso de métodos de comparación relativa, la PCR se vuelve un método efectivamente cuantitativo (</w:t>
      </w:r>
      <w:hyperlink r:id="rId11" w:tgtFrame="_blank" w:history="1">
        <w:r w:rsidRPr="00FD287F">
          <w:rPr>
            <w:rStyle w:val="Hipervnculo"/>
            <w:rFonts w:ascii="Arial Narrow" w:hAnsi="Arial Narrow"/>
            <w:sz w:val="20"/>
            <w:szCs w:val="20"/>
          </w:rPr>
          <w:t>figura 1C</w:t>
        </w:r>
      </w:hyperlink>
      <w:r w:rsidRPr="00FD287F">
        <w:rPr>
          <w:rFonts w:ascii="Arial Narrow" w:hAnsi="Arial Narrow"/>
          <w:sz w:val="20"/>
          <w:szCs w:val="20"/>
        </w:rPr>
        <w:t>) (</w:t>
      </w:r>
      <w:proofErr w:type="spellStart"/>
      <w:r w:rsidRPr="00FD287F">
        <w:rPr>
          <w:rFonts w:ascii="Arial Narrow" w:hAnsi="Arial Narrow"/>
          <w:sz w:val="20"/>
          <w:szCs w:val="20"/>
        </w:rPr>
        <w:t>Schmittgen</w:t>
      </w:r>
      <w:proofErr w:type="spellEnd"/>
      <w:r w:rsidRPr="00FD287F">
        <w:rPr>
          <w:rFonts w:ascii="Arial Narrow" w:hAnsi="Arial Narrow"/>
          <w:sz w:val="20"/>
          <w:szCs w:val="20"/>
        </w:rPr>
        <w:t xml:space="preserve"> y </w:t>
      </w:r>
      <w:proofErr w:type="spellStart"/>
      <w:r w:rsidRPr="00FD287F">
        <w:rPr>
          <w:rFonts w:ascii="Arial Narrow" w:hAnsi="Arial Narrow"/>
          <w:sz w:val="20"/>
          <w:szCs w:val="20"/>
        </w:rPr>
        <w:t>Livak</w:t>
      </w:r>
      <w:proofErr w:type="spellEnd"/>
      <w:r w:rsidRPr="00FD287F">
        <w:rPr>
          <w:rFonts w:ascii="Arial Narrow" w:hAnsi="Arial Narrow"/>
          <w:sz w:val="20"/>
          <w:szCs w:val="20"/>
        </w:rPr>
        <w:t>, 2008). Esta modificación se llama PCR cuantitativo (</w:t>
      </w:r>
      <w:proofErr w:type="spellStart"/>
      <w:r w:rsidRPr="00FD287F">
        <w:rPr>
          <w:rFonts w:ascii="Arial Narrow" w:hAnsi="Arial Narrow"/>
          <w:sz w:val="20"/>
          <w:szCs w:val="20"/>
        </w:rPr>
        <w:t>qPCR</w:t>
      </w:r>
      <w:proofErr w:type="spellEnd"/>
      <w:r w:rsidRPr="00FD287F">
        <w:rPr>
          <w:rFonts w:ascii="Arial Narrow" w:hAnsi="Arial Narrow"/>
          <w:sz w:val="20"/>
          <w:szCs w:val="20"/>
        </w:rPr>
        <w:t>).</w:t>
      </w:r>
    </w:p>
    <w:p w:rsidR="00FD287F" w:rsidRPr="00FD287F" w:rsidRDefault="00FD287F" w:rsidP="00FD287F">
      <w:pPr>
        <w:spacing w:after="0"/>
        <w:jc w:val="both"/>
        <w:rPr>
          <w:rFonts w:ascii="Arial Narrow" w:hAnsi="Arial Narrow"/>
          <w:sz w:val="20"/>
          <w:szCs w:val="20"/>
        </w:rPr>
      </w:pPr>
      <w:r w:rsidRPr="00FD287F">
        <w:rPr>
          <w:rFonts w:ascii="Arial Narrow" w:hAnsi="Arial Narrow"/>
          <w:sz w:val="20"/>
          <w:szCs w:val="20"/>
        </w:rPr>
        <w:t xml:space="preserve">Antes del </w:t>
      </w:r>
      <w:proofErr w:type="spellStart"/>
      <w:r w:rsidRPr="00FD287F">
        <w:rPr>
          <w:rFonts w:ascii="Arial Narrow" w:hAnsi="Arial Narrow"/>
          <w:sz w:val="20"/>
          <w:szCs w:val="20"/>
        </w:rPr>
        <w:t>qPCR</w:t>
      </w:r>
      <w:proofErr w:type="spellEnd"/>
      <w:r w:rsidRPr="00FD287F">
        <w:rPr>
          <w:rFonts w:ascii="Arial Narrow" w:hAnsi="Arial Narrow"/>
          <w:sz w:val="20"/>
          <w:szCs w:val="20"/>
        </w:rPr>
        <w:t>, los métodos de cuantificación de abundancia de ácidos nucleicos se basaban en la hibridación en fase sólida (</w:t>
      </w:r>
      <w:proofErr w:type="spellStart"/>
      <w:r w:rsidRPr="00FD287F">
        <w:rPr>
          <w:rFonts w:ascii="Arial Narrow" w:hAnsi="Arial Narrow"/>
          <w:sz w:val="20"/>
          <w:szCs w:val="20"/>
        </w:rPr>
        <w:t>Northern</w:t>
      </w:r>
      <w:proofErr w:type="spellEnd"/>
      <w:r w:rsidRPr="00FD287F">
        <w:rPr>
          <w:rFonts w:ascii="Arial Narrow" w:hAnsi="Arial Narrow"/>
          <w:sz w:val="20"/>
          <w:szCs w:val="20"/>
        </w:rPr>
        <w:t xml:space="preserve"> y </w:t>
      </w:r>
      <w:proofErr w:type="spellStart"/>
      <w:r w:rsidRPr="00FD287F">
        <w:rPr>
          <w:rFonts w:ascii="Arial Narrow" w:hAnsi="Arial Narrow"/>
          <w:sz w:val="20"/>
          <w:szCs w:val="20"/>
        </w:rPr>
        <w:t>Southern</w:t>
      </w:r>
      <w:proofErr w:type="spellEnd"/>
      <w:r w:rsidRPr="00FD287F">
        <w:rPr>
          <w:rFonts w:ascii="Arial Narrow" w:hAnsi="Arial Narrow"/>
          <w:sz w:val="20"/>
          <w:szCs w:val="20"/>
        </w:rPr>
        <w:t xml:space="preserve"> </w:t>
      </w:r>
      <w:proofErr w:type="spellStart"/>
      <w:r w:rsidRPr="00FD287F">
        <w:rPr>
          <w:rFonts w:ascii="Arial Narrow" w:hAnsi="Arial Narrow"/>
          <w:sz w:val="20"/>
          <w:szCs w:val="20"/>
        </w:rPr>
        <w:t>Blot</w:t>
      </w:r>
      <w:proofErr w:type="spellEnd"/>
      <w:r w:rsidRPr="00FD287F">
        <w:rPr>
          <w:rFonts w:ascii="Arial Narrow" w:hAnsi="Arial Narrow"/>
          <w:sz w:val="20"/>
          <w:szCs w:val="20"/>
        </w:rPr>
        <w:t xml:space="preserve">), o en sus variantes de análisis masivo como los </w:t>
      </w:r>
      <w:proofErr w:type="spellStart"/>
      <w:r w:rsidRPr="00FD287F">
        <w:rPr>
          <w:rFonts w:ascii="Arial Narrow" w:hAnsi="Arial Narrow"/>
          <w:sz w:val="20"/>
          <w:szCs w:val="20"/>
        </w:rPr>
        <w:t>microarreglos</w:t>
      </w:r>
      <w:proofErr w:type="spellEnd"/>
      <w:r w:rsidRPr="00FD287F">
        <w:rPr>
          <w:rFonts w:ascii="Arial Narrow" w:hAnsi="Arial Narrow"/>
          <w:sz w:val="20"/>
          <w:szCs w:val="20"/>
        </w:rPr>
        <w:t xml:space="preserve">. La </w:t>
      </w:r>
      <w:proofErr w:type="spellStart"/>
      <w:r w:rsidRPr="00FD287F">
        <w:rPr>
          <w:rFonts w:ascii="Arial Narrow" w:hAnsi="Arial Narrow"/>
          <w:sz w:val="20"/>
          <w:szCs w:val="20"/>
        </w:rPr>
        <w:t>qPCR</w:t>
      </w:r>
      <w:proofErr w:type="spellEnd"/>
      <w:r w:rsidRPr="00FD287F">
        <w:rPr>
          <w:rFonts w:ascii="Arial Narrow" w:hAnsi="Arial Narrow"/>
          <w:sz w:val="20"/>
          <w:szCs w:val="20"/>
        </w:rPr>
        <w:t xml:space="preserve"> ha sustituido a todos ellos —excepto a los </w:t>
      </w:r>
      <w:proofErr w:type="spellStart"/>
      <w:r w:rsidRPr="00FD287F">
        <w:rPr>
          <w:rFonts w:ascii="Arial Narrow" w:hAnsi="Arial Narrow"/>
          <w:sz w:val="20"/>
          <w:szCs w:val="20"/>
        </w:rPr>
        <w:t>microarreglos</w:t>
      </w:r>
      <w:proofErr w:type="spellEnd"/>
      <w:r w:rsidRPr="00FD287F">
        <w:rPr>
          <w:rFonts w:ascii="Arial Narrow" w:hAnsi="Arial Narrow"/>
          <w:sz w:val="20"/>
          <w:szCs w:val="20"/>
        </w:rPr>
        <w:t xml:space="preserve">— como el método primario para cuantificar la abundancia absoluta o relativa de ADN (Russell, 2011). La </w:t>
      </w:r>
      <w:proofErr w:type="spellStart"/>
      <w:r w:rsidRPr="00FD287F">
        <w:rPr>
          <w:rFonts w:ascii="Arial Narrow" w:hAnsi="Arial Narrow"/>
          <w:sz w:val="20"/>
          <w:szCs w:val="20"/>
        </w:rPr>
        <w:t>qPCR</w:t>
      </w:r>
      <w:proofErr w:type="spellEnd"/>
      <w:r w:rsidRPr="00FD287F">
        <w:rPr>
          <w:rFonts w:ascii="Arial Narrow" w:hAnsi="Arial Narrow"/>
          <w:sz w:val="20"/>
          <w:szCs w:val="20"/>
        </w:rPr>
        <w:t xml:space="preserve"> requiere de una sencilla pero cuidadosa estandarización detallada en un protocolo internacionalmente aceptado (</w:t>
      </w:r>
      <w:proofErr w:type="spellStart"/>
      <w:r w:rsidRPr="00FD287F">
        <w:rPr>
          <w:rFonts w:ascii="Arial Narrow" w:hAnsi="Arial Narrow"/>
          <w:sz w:val="20"/>
          <w:szCs w:val="20"/>
        </w:rPr>
        <w:t>Bustin</w:t>
      </w:r>
      <w:proofErr w:type="spellEnd"/>
      <w:r w:rsidRPr="00FD287F">
        <w:rPr>
          <w:rFonts w:ascii="Arial Narrow" w:hAnsi="Arial Narrow"/>
          <w:sz w:val="20"/>
          <w:szCs w:val="20"/>
        </w:rPr>
        <w:t> </w:t>
      </w:r>
      <w:r w:rsidRPr="00FD287F">
        <w:rPr>
          <w:rFonts w:ascii="Arial Narrow" w:hAnsi="Arial Narrow"/>
          <w:i/>
          <w:iCs/>
          <w:sz w:val="20"/>
          <w:szCs w:val="20"/>
        </w:rPr>
        <w:t>et al.,</w:t>
      </w:r>
      <w:r w:rsidRPr="00FD287F">
        <w:rPr>
          <w:rFonts w:ascii="Arial Narrow" w:hAnsi="Arial Narrow"/>
          <w:sz w:val="20"/>
          <w:szCs w:val="20"/>
        </w:rPr>
        <w:t> 2009).</w:t>
      </w:r>
    </w:p>
    <w:p w:rsidR="00FD287F" w:rsidRDefault="00FD287F" w:rsidP="00FD287F">
      <w:pPr>
        <w:spacing w:after="0"/>
        <w:jc w:val="both"/>
        <w:rPr>
          <w:rFonts w:ascii="Arial Narrow" w:hAnsi="Arial Narrow"/>
          <w:b/>
          <w:bCs/>
          <w:i/>
          <w:iCs/>
          <w:sz w:val="20"/>
          <w:szCs w:val="20"/>
        </w:rPr>
      </w:pPr>
    </w:p>
    <w:p w:rsidR="00FD287F" w:rsidRDefault="00FD287F" w:rsidP="00FD287F">
      <w:pPr>
        <w:spacing w:after="0"/>
        <w:jc w:val="both"/>
        <w:rPr>
          <w:rFonts w:ascii="Arial Narrow" w:hAnsi="Arial Narrow"/>
          <w:b/>
          <w:bCs/>
          <w:i/>
          <w:iCs/>
          <w:sz w:val="20"/>
          <w:szCs w:val="20"/>
        </w:rPr>
      </w:pPr>
    </w:p>
    <w:p w:rsidR="00FD287F" w:rsidRDefault="00FD287F" w:rsidP="00FD287F">
      <w:pPr>
        <w:spacing w:after="0"/>
        <w:jc w:val="both"/>
        <w:rPr>
          <w:rFonts w:ascii="Arial Narrow" w:hAnsi="Arial Narrow"/>
          <w:b/>
          <w:bCs/>
          <w:i/>
          <w:iCs/>
          <w:sz w:val="20"/>
          <w:szCs w:val="20"/>
        </w:rPr>
      </w:pPr>
    </w:p>
    <w:p w:rsidR="00FD287F" w:rsidRDefault="00FD287F" w:rsidP="00FD287F">
      <w:pPr>
        <w:spacing w:after="0"/>
        <w:jc w:val="both"/>
        <w:rPr>
          <w:rFonts w:ascii="Arial Narrow" w:hAnsi="Arial Narrow"/>
          <w:b/>
          <w:bCs/>
          <w:i/>
          <w:iCs/>
          <w:sz w:val="20"/>
          <w:szCs w:val="20"/>
        </w:rPr>
      </w:pPr>
    </w:p>
    <w:p w:rsidR="00FD287F" w:rsidRDefault="00FD287F" w:rsidP="00FD287F">
      <w:pPr>
        <w:spacing w:after="0"/>
        <w:jc w:val="both"/>
        <w:rPr>
          <w:rFonts w:ascii="Arial Narrow" w:hAnsi="Arial Narrow"/>
          <w:b/>
          <w:bCs/>
          <w:i/>
          <w:iCs/>
          <w:sz w:val="20"/>
          <w:szCs w:val="20"/>
        </w:rPr>
      </w:pPr>
    </w:p>
    <w:p w:rsidR="00FD287F" w:rsidRDefault="00FD287F" w:rsidP="00FD287F">
      <w:pPr>
        <w:spacing w:after="0"/>
        <w:jc w:val="both"/>
        <w:rPr>
          <w:rFonts w:ascii="Arial Narrow" w:hAnsi="Arial Narrow"/>
          <w:b/>
          <w:bCs/>
          <w:i/>
          <w:iCs/>
          <w:sz w:val="20"/>
          <w:szCs w:val="20"/>
        </w:rPr>
      </w:pPr>
    </w:p>
    <w:p w:rsidR="00FD287F" w:rsidRPr="00FD287F" w:rsidRDefault="00FD287F" w:rsidP="00FD287F">
      <w:pPr>
        <w:spacing w:after="0"/>
        <w:jc w:val="both"/>
        <w:rPr>
          <w:rFonts w:ascii="Arial Narrow" w:hAnsi="Arial Narrow"/>
          <w:sz w:val="20"/>
          <w:szCs w:val="20"/>
        </w:rPr>
      </w:pPr>
      <w:r w:rsidRPr="00FD287F">
        <w:rPr>
          <w:rFonts w:ascii="Arial Narrow" w:hAnsi="Arial Narrow"/>
          <w:b/>
          <w:bCs/>
          <w:i/>
          <w:iCs/>
          <w:sz w:val="20"/>
          <w:szCs w:val="20"/>
        </w:rPr>
        <w:t>7.1. Avances modernos en la PCR</w:t>
      </w:r>
    </w:p>
    <w:p w:rsidR="00FD287F" w:rsidRPr="00FD287F" w:rsidRDefault="00FD287F" w:rsidP="00FD287F">
      <w:pPr>
        <w:spacing w:after="0"/>
        <w:jc w:val="both"/>
        <w:rPr>
          <w:rFonts w:ascii="Arial Narrow" w:hAnsi="Arial Narrow"/>
          <w:sz w:val="20"/>
          <w:szCs w:val="20"/>
        </w:rPr>
      </w:pPr>
      <w:r w:rsidRPr="00FD287F">
        <w:rPr>
          <w:rFonts w:ascii="Arial Narrow" w:hAnsi="Arial Narrow"/>
          <w:noProof/>
          <w:sz w:val="20"/>
          <w:szCs w:val="20"/>
          <w:lang w:eastAsia="es-CL"/>
        </w:rPr>
        <w:drawing>
          <wp:anchor distT="0" distB="0" distL="114300" distR="114300" simplePos="0" relativeHeight="251659264" behindDoc="1" locked="0" layoutInCell="1" allowOverlap="1" wp14:anchorId="397EE85A" wp14:editId="54A4A474">
            <wp:simplePos x="0" y="0"/>
            <wp:positionH relativeFrom="column">
              <wp:posOffset>3438525</wp:posOffset>
            </wp:positionH>
            <wp:positionV relativeFrom="paragraph">
              <wp:posOffset>784225</wp:posOffset>
            </wp:positionV>
            <wp:extent cx="3695700" cy="7381875"/>
            <wp:effectExtent l="0" t="0" r="0" b="9525"/>
            <wp:wrapTight wrapText="bothSides">
              <wp:wrapPolygon edited="0">
                <wp:start x="0" y="0"/>
                <wp:lineTo x="0" y="21572"/>
                <wp:lineTo x="21489" y="21572"/>
                <wp:lineTo x="21489" y="0"/>
                <wp:lineTo x="0" y="0"/>
              </wp:wrapPolygon>
            </wp:wrapTight>
            <wp:docPr id="4" name="Imagen 4" descr="http://www.scielo.org.mx/img/revistas/eq/v24n2/a9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lo.org.mx/img/revistas/eq/v24n2/a9f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7381875"/>
                    </a:xfrm>
                    <a:prstGeom prst="rect">
                      <a:avLst/>
                    </a:prstGeom>
                    <a:noFill/>
                    <a:ln>
                      <a:noFill/>
                    </a:ln>
                  </pic:spPr>
                </pic:pic>
              </a:graphicData>
            </a:graphic>
          </wp:anchor>
        </w:drawing>
      </w:r>
      <w:r w:rsidRPr="00FD287F">
        <w:rPr>
          <w:rFonts w:ascii="Arial Narrow" w:hAnsi="Arial Narrow"/>
          <w:sz w:val="20"/>
          <w:szCs w:val="20"/>
        </w:rPr>
        <w:t xml:space="preserve">La investigación sobre la PCR tiene como objetivo central ampliar las aplicaciones del método a todos los aspectos biológicos de la investigación. Desde el diagnóstico molecular de enfermedades hasta métodos de </w:t>
      </w:r>
      <w:proofErr w:type="spellStart"/>
      <w:r w:rsidRPr="00FD287F">
        <w:rPr>
          <w:rFonts w:ascii="Arial Narrow" w:hAnsi="Arial Narrow"/>
          <w:sz w:val="20"/>
          <w:szCs w:val="20"/>
        </w:rPr>
        <w:t>qPCR</w:t>
      </w:r>
      <w:proofErr w:type="spellEnd"/>
      <w:r w:rsidRPr="00FD287F">
        <w:rPr>
          <w:rFonts w:ascii="Arial Narrow" w:hAnsi="Arial Narrow"/>
          <w:sz w:val="20"/>
          <w:szCs w:val="20"/>
        </w:rPr>
        <w:t xml:space="preserve"> que sean capaces de detectar pequeños </w:t>
      </w:r>
      <w:proofErr w:type="spellStart"/>
      <w:r w:rsidRPr="00FD287F">
        <w:rPr>
          <w:rFonts w:ascii="Arial Narrow" w:hAnsi="Arial Narrow"/>
          <w:sz w:val="20"/>
          <w:szCs w:val="20"/>
        </w:rPr>
        <w:t>ARNs</w:t>
      </w:r>
      <w:proofErr w:type="spellEnd"/>
      <w:r w:rsidRPr="00FD287F">
        <w:rPr>
          <w:rFonts w:ascii="Arial Narrow" w:hAnsi="Arial Narrow"/>
          <w:sz w:val="20"/>
          <w:szCs w:val="20"/>
        </w:rPr>
        <w:t xml:space="preserve"> de 22 </w:t>
      </w:r>
      <w:proofErr w:type="spellStart"/>
      <w:r w:rsidRPr="00FD287F">
        <w:rPr>
          <w:rFonts w:ascii="Arial Narrow" w:hAnsi="Arial Narrow"/>
          <w:sz w:val="20"/>
          <w:szCs w:val="20"/>
        </w:rPr>
        <w:t>pb</w:t>
      </w:r>
      <w:proofErr w:type="spellEnd"/>
      <w:r w:rsidRPr="00FD287F">
        <w:rPr>
          <w:rFonts w:ascii="Arial Narrow" w:hAnsi="Arial Narrow"/>
          <w:sz w:val="20"/>
          <w:szCs w:val="20"/>
        </w:rPr>
        <w:t xml:space="preserve"> (</w:t>
      </w:r>
      <w:proofErr w:type="spellStart"/>
      <w:r w:rsidRPr="00FD287F">
        <w:rPr>
          <w:rFonts w:ascii="Arial Narrow" w:hAnsi="Arial Narrow"/>
          <w:sz w:val="20"/>
          <w:szCs w:val="20"/>
        </w:rPr>
        <w:t>Schmittgen</w:t>
      </w:r>
      <w:proofErr w:type="spellEnd"/>
      <w:r w:rsidRPr="00FD287F">
        <w:rPr>
          <w:rFonts w:ascii="Arial Narrow" w:hAnsi="Arial Narrow"/>
          <w:sz w:val="20"/>
          <w:szCs w:val="20"/>
        </w:rPr>
        <w:t xml:space="preserve"> and </w:t>
      </w:r>
      <w:proofErr w:type="spellStart"/>
      <w:r w:rsidRPr="00FD287F">
        <w:rPr>
          <w:rFonts w:ascii="Arial Narrow" w:hAnsi="Arial Narrow"/>
          <w:sz w:val="20"/>
          <w:szCs w:val="20"/>
        </w:rPr>
        <w:t>Livak</w:t>
      </w:r>
      <w:proofErr w:type="spellEnd"/>
      <w:r w:rsidRPr="00FD287F">
        <w:rPr>
          <w:rFonts w:ascii="Arial Narrow" w:hAnsi="Arial Narrow"/>
          <w:sz w:val="20"/>
          <w:szCs w:val="20"/>
        </w:rPr>
        <w:t>, 2008). La automatización de la PCR es también una necesidad real ya que la PCR ha sustituido al mapeo genético por ERS (Sigma, 2011). De esta forma, la caracterización de bancos de mutantes requiere la preparación de miles de reacciones y de su análisis en sistemas electroforéticos de última generación.</w:t>
      </w:r>
    </w:p>
    <w:p w:rsidR="00BA0DDA" w:rsidRDefault="00FD287F" w:rsidP="00494E17">
      <w:pPr>
        <w:spacing w:after="0"/>
        <w:jc w:val="both"/>
      </w:pPr>
      <w:r w:rsidRPr="00FD287F">
        <w:rPr>
          <w:rFonts w:ascii="Arial Narrow" w:hAnsi="Arial Narrow"/>
          <w:noProof/>
          <w:sz w:val="20"/>
          <w:szCs w:val="20"/>
          <w:lang w:eastAsia="es-CL"/>
        </w:rPr>
        <w:drawing>
          <wp:anchor distT="0" distB="0" distL="114300" distR="114300" simplePos="0" relativeHeight="251658240" behindDoc="1" locked="0" layoutInCell="1" allowOverlap="1" wp14:anchorId="526EFB0E" wp14:editId="06A23808">
            <wp:simplePos x="0" y="0"/>
            <wp:positionH relativeFrom="margin">
              <wp:align>left</wp:align>
            </wp:positionH>
            <wp:positionV relativeFrom="paragraph">
              <wp:posOffset>3175</wp:posOffset>
            </wp:positionV>
            <wp:extent cx="3131820" cy="5324475"/>
            <wp:effectExtent l="0" t="0" r="0" b="0"/>
            <wp:wrapTight wrapText="bothSides">
              <wp:wrapPolygon edited="0">
                <wp:start x="0" y="0"/>
                <wp:lineTo x="0" y="21484"/>
                <wp:lineTo x="21416" y="21484"/>
                <wp:lineTo x="21416" y="0"/>
                <wp:lineTo x="0" y="0"/>
              </wp:wrapPolygon>
            </wp:wrapTight>
            <wp:docPr id="2" name="Imagen 2" descr="http://www.scielo.org.mx/img/revistas/eq/v24n2/a9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lo.org.mx/img/revistas/eq/v24n2/a9f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8728" cy="53358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287F">
        <w:t xml:space="preserve"> </w:t>
      </w:r>
    </w:p>
    <w:p w:rsidR="00F72D21" w:rsidRDefault="00F72D21" w:rsidP="00494E17">
      <w:pPr>
        <w:spacing w:after="0"/>
        <w:jc w:val="both"/>
      </w:pPr>
    </w:p>
    <w:p w:rsidR="00F72D21" w:rsidRDefault="00F72D21" w:rsidP="00494E17">
      <w:pPr>
        <w:spacing w:after="0"/>
        <w:jc w:val="both"/>
      </w:pPr>
    </w:p>
    <w:p w:rsidR="00F72D21" w:rsidRDefault="00F72D21" w:rsidP="00494E17">
      <w:pPr>
        <w:spacing w:after="0"/>
        <w:jc w:val="both"/>
      </w:pPr>
    </w:p>
    <w:p w:rsidR="00F72D21" w:rsidRDefault="00F72D21" w:rsidP="00494E17">
      <w:pPr>
        <w:spacing w:after="0"/>
        <w:jc w:val="both"/>
      </w:pPr>
    </w:p>
    <w:p w:rsidR="00F72D21" w:rsidRDefault="00F72D21" w:rsidP="00494E17">
      <w:pPr>
        <w:spacing w:after="0"/>
        <w:jc w:val="both"/>
      </w:pPr>
    </w:p>
    <w:p w:rsidR="00F72D21" w:rsidRDefault="00F72D21" w:rsidP="00494E17">
      <w:pPr>
        <w:spacing w:after="0"/>
        <w:jc w:val="both"/>
      </w:pPr>
    </w:p>
    <w:p w:rsidR="00F72D21" w:rsidRPr="00497292" w:rsidRDefault="00F72D21" w:rsidP="00F72D21">
      <w:pPr>
        <w:pStyle w:val="Citadestacada"/>
        <w:rPr>
          <w:b/>
          <w:sz w:val="40"/>
          <w:lang w:eastAsia="es-CL"/>
        </w:rPr>
      </w:pPr>
      <w:r w:rsidRPr="00497292">
        <w:rPr>
          <w:b/>
          <w:noProof/>
          <w:sz w:val="40"/>
          <w:lang w:eastAsia="es-CL"/>
        </w:rPr>
        <w:drawing>
          <wp:anchor distT="0" distB="0" distL="114300" distR="114300" simplePos="0" relativeHeight="251661312" behindDoc="0" locked="0" layoutInCell="1" allowOverlap="1" wp14:anchorId="6176EC7A" wp14:editId="2A5ADF5C">
            <wp:simplePos x="0" y="0"/>
            <wp:positionH relativeFrom="column">
              <wp:posOffset>-222885</wp:posOffset>
            </wp:positionH>
            <wp:positionV relativeFrom="paragraph">
              <wp:posOffset>252730</wp:posOffset>
            </wp:positionV>
            <wp:extent cx="706755" cy="856673"/>
            <wp:effectExtent l="0" t="0" r="0" b="635"/>
            <wp:wrapNone/>
            <wp:docPr id="1" name="Imagen 1" descr="C:\Users\utp2\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2\Desktop\insigni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6755" cy="8566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7292">
        <w:rPr>
          <w:b/>
          <w:sz w:val="40"/>
          <w:lang w:eastAsia="es-CL"/>
        </w:rPr>
        <w:t>CAPSULAS DE VIDEO</w:t>
      </w:r>
      <w:r>
        <w:rPr>
          <w:b/>
          <w:sz w:val="40"/>
          <w:lang w:eastAsia="es-CL"/>
        </w:rPr>
        <w:t xml:space="preserve"> - </w:t>
      </w:r>
      <w:r w:rsidRPr="00497292">
        <w:rPr>
          <w:b/>
          <w:sz w:val="40"/>
          <w:lang w:eastAsia="es-CL"/>
        </w:rPr>
        <w:t>CANAL SFC DE YOUTUBE</w:t>
      </w:r>
    </w:p>
    <w:p w:rsidR="00F72D21" w:rsidRPr="00497292" w:rsidRDefault="00F72D21" w:rsidP="00F72D21">
      <w:pPr>
        <w:shd w:val="clear" w:color="auto" w:fill="FFFFFF"/>
        <w:spacing w:after="0" w:line="240" w:lineRule="auto"/>
        <w:rPr>
          <w:rFonts w:ascii="Arial" w:eastAsia="Times New Roman" w:hAnsi="Arial" w:cs="Arial"/>
          <w:color w:val="222222"/>
          <w:sz w:val="24"/>
          <w:szCs w:val="24"/>
          <w:lang w:eastAsia="es-CL"/>
        </w:rPr>
      </w:pPr>
    </w:p>
    <w:p w:rsidR="00F72D21" w:rsidRDefault="00F72D21" w:rsidP="00F72D21">
      <w:r>
        <w:rPr>
          <w:noProof/>
          <w:lang w:eastAsia="es-CL"/>
        </w:rPr>
        <w:drawing>
          <wp:anchor distT="0" distB="0" distL="114300" distR="114300" simplePos="0" relativeHeight="251662336" behindDoc="0" locked="0" layoutInCell="1" allowOverlap="1">
            <wp:simplePos x="0" y="0"/>
            <wp:positionH relativeFrom="margin">
              <wp:align>center</wp:align>
            </wp:positionH>
            <wp:positionV relativeFrom="paragraph">
              <wp:posOffset>5080</wp:posOffset>
            </wp:positionV>
            <wp:extent cx="5381625" cy="4036219"/>
            <wp:effectExtent l="0" t="0" r="0" b="2540"/>
            <wp:wrapNone/>
            <wp:docPr id="5" name="Vídeo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6">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djX_ktokHqI&quot; frameborder=&quot;0&quot; type=&quot;text/html&quot; width=&quot;816&quot; height=&quot;480&quot; /&gt;" h="480" w="816"/>
                        </a:ext>
                      </a:extLst>
                    </a:blip>
                    <a:stretch>
                      <a:fillRect/>
                    </a:stretch>
                  </pic:blipFill>
                  <pic:spPr>
                    <a:xfrm>
                      <a:off x="0" y="0"/>
                      <a:ext cx="5381625" cy="4036219"/>
                    </a:xfrm>
                    <a:prstGeom prst="rect">
                      <a:avLst/>
                    </a:prstGeom>
                  </pic:spPr>
                </pic:pic>
              </a:graphicData>
            </a:graphic>
          </wp:anchor>
        </w:drawing>
      </w:r>
    </w:p>
    <w:p w:rsidR="00F72D21" w:rsidRPr="00030BA1" w:rsidRDefault="00F72D21" w:rsidP="00494E17">
      <w:pPr>
        <w:spacing w:after="0"/>
        <w:jc w:val="both"/>
        <w:rPr>
          <w:rFonts w:ascii="Arial Narrow" w:hAnsi="Arial Narrow"/>
          <w:sz w:val="20"/>
          <w:szCs w:val="20"/>
        </w:rPr>
      </w:pPr>
      <w:bookmarkStart w:id="0" w:name="_GoBack"/>
      <w:bookmarkEnd w:id="0"/>
    </w:p>
    <w:sectPr w:rsidR="00F72D21" w:rsidRPr="00030BA1" w:rsidSect="0024359F">
      <w:headerReference w:type="default" r:id="rId17"/>
      <w:footerReference w:type="default" r:id="rId18"/>
      <w:pgSz w:w="12185" w:h="17861" w:code="34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73A" w:rsidRDefault="00AC673A" w:rsidP="00655039">
      <w:pPr>
        <w:spacing w:after="0" w:line="240" w:lineRule="auto"/>
      </w:pPr>
      <w:r>
        <w:separator/>
      </w:r>
    </w:p>
  </w:endnote>
  <w:endnote w:type="continuationSeparator" w:id="0">
    <w:p w:rsidR="00AC673A" w:rsidRDefault="00AC673A" w:rsidP="0065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39" w:rsidRDefault="00655039" w:rsidP="00655039">
    <w:pPr>
      <w:tabs>
        <w:tab w:val="center" w:pos="4419"/>
        <w:tab w:val="right" w:pos="8838"/>
      </w:tabs>
      <w:spacing w:after="0" w:line="240" w:lineRule="auto"/>
    </w:pPr>
    <w:r w:rsidRPr="00655039">
      <w:t xml:space="preserve">Biología Celular y Molecular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73A" w:rsidRDefault="00AC673A" w:rsidP="00655039">
      <w:pPr>
        <w:spacing w:after="0" w:line="240" w:lineRule="auto"/>
      </w:pPr>
      <w:r>
        <w:separator/>
      </w:r>
    </w:p>
  </w:footnote>
  <w:footnote w:type="continuationSeparator" w:id="0">
    <w:p w:rsidR="00AC673A" w:rsidRDefault="00AC673A" w:rsidP="00655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39" w:rsidRPr="00F947EC" w:rsidRDefault="00655039" w:rsidP="00655039">
    <w:pPr>
      <w:pStyle w:val="Encabezado"/>
      <w:rPr>
        <w:rFonts w:ascii="Arial Narrow" w:hAnsi="Arial Narrow"/>
        <w:i/>
        <w:sz w:val="18"/>
        <w:szCs w:val="18"/>
      </w:rPr>
    </w:pPr>
    <w:r w:rsidRPr="00F947EC">
      <w:rPr>
        <w:rFonts w:ascii="Arial Narrow" w:hAnsi="Arial Narrow"/>
        <w:noProof/>
        <w:sz w:val="18"/>
        <w:szCs w:val="18"/>
        <w:lang w:eastAsia="es-CL"/>
      </w:rPr>
      <w:drawing>
        <wp:anchor distT="0" distB="0" distL="114300" distR="114300" simplePos="0" relativeHeight="251659264" behindDoc="1" locked="0" layoutInCell="1" allowOverlap="1" wp14:anchorId="58078981" wp14:editId="3432FB92">
          <wp:simplePos x="0" y="0"/>
          <wp:positionH relativeFrom="margin">
            <wp:align>left</wp:align>
          </wp:positionH>
          <wp:positionV relativeFrom="paragraph">
            <wp:posOffset>-40005</wp:posOffset>
          </wp:positionV>
          <wp:extent cx="593725" cy="454660"/>
          <wp:effectExtent l="0" t="0" r="0" b="2540"/>
          <wp:wrapTight wrapText="bothSides">
            <wp:wrapPolygon edited="0">
              <wp:start x="0" y="0"/>
              <wp:lineTo x="0" y="20816"/>
              <wp:lineTo x="20791" y="20816"/>
              <wp:lineTo x="20791"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454660"/>
                  </a:xfrm>
                  <a:prstGeom prst="rect">
                    <a:avLst/>
                  </a:prstGeom>
                </pic:spPr>
              </pic:pic>
            </a:graphicData>
          </a:graphic>
          <wp14:sizeRelH relativeFrom="margin">
            <wp14:pctWidth>0</wp14:pctWidth>
          </wp14:sizeRelH>
          <wp14:sizeRelV relativeFrom="margin">
            <wp14:pctHeight>0</wp14:pctHeight>
          </wp14:sizeRelV>
        </wp:anchor>
      </w:drawing>
    </w:r>
    <w:r w:rsidRPr="00F947EC">
      <w:rPr>
        <w:rFonts w:ascii="Arial Narrow" w:hAnsi="Arial Narrow"/>
        <w:sz w:val="18"/>
        <w:szCs w:val="18"/>
      </w:rPr>
      <w:t xml:space="preserve"> </w:t>
    </w:r>
    <w:r w:rsidRPr="00F947EC">
      <w:rPr>
        <w:rFonts w:ascii="Arial Narrow" w:hAnsi="Arial Narrow"/>
        <w:i/>
        <w:sz w:val="18"/>
        <w:szCs w:val="18"/>
      </w:rPr>
      <w:t xml:space="preserve">Profesor de Ciencias </w:t>
    </w:r>
  </w:p>
  <w:p w:rsidR="00655039" w:rsidRPr="00F947EC" w:rsidRDefault="00655039" w:rsidP="00655039">
    <w:pPr>
      <w:pStyle w:val="Encabezado"/>
      <w:rPr>
        <w:rFonts w:ascii="Arial Narrow" w:hAnsi="Arial Narrow"/>
        <w:i/>
        <w:sz w:val="18"/>
        <w:szCs w:val="18"/>
      </w:rPr>
    </w:pPr>
    <w:r w:rsidRPr="00F947EC">
      <w:rPr>
        <w:rFonts w:ascii="Arial Narrow" w:hAnsi="Arial Narrow"/>
        <w:i/>
        <w:sz w:val="18"/>
        <w:szCs w:val="18"/>
      </w:rPr>
      <w:t>Felipe Espina Astudillo</w:t>
    </w:r>
  </w:p>
  <w:p w:rsidR="00655039" w:rsidRPr="00655039" w:rsidRDefault="00655039">
    <w:pPr>
      <w:pStyle w:val="Encabezado"/>
      <w:rPr>
        <w:i/>
      </w:rPr>
    </w:pPr>
    <w:r w:rsidRPr="00F947EC">
      <w:rPr>
        <w:rFonts w:ascii="Arial Narrow" w:hAnsi="Arial Narrow"/>
        <w:i/>
        <w:sz w:val="18"/>
        <w:szCs w:val="18"/>
      </w:rPr>
      <w:t>Departamento de Ciencias</w:t>
    </w:r>
    <w:r w:rsidRPr="00F947EC">
      <w:rPr>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F58BE"/>
    <w:multiLevelType w:val="hybridMultilevel"/>
    <w:tmpl w:val="E272CAE2"/>
    <w:lvl w:ilvl="0" w:tplc="EEB67F6C">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2AA0AB2"/>
    <w:multiLevelType w:val="hybridMultilevel"/>
    <w:tmpl w:val="F5EAC0C0"/>
    <w:lvl w:ilvl="0" w:tplc="A680297C">
      <w:start w:val="1"/>
      <w:numFmt w:val="decimal"/>
      <w:lvlText w:val="%1."/>
      <w:lvlJc w:val="left"/>
      <w:pPr>
        <w:ind w:left="660" w:hanging="360"/>
      </w:pPr>
      <w:rPr>
        <w:rFonts w:hint="default"/>
        <w:sz w:val="24"/>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2">
    <w:nsid w:val="51004345"/>
    <w:multiLevelType w:val="hybridMultilevel"/>
    <w:tmpl w:val="C8947FF4"/>
    <w:lvl w:ilvl="0" w:tplc="E3CE16AA">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0B"/>
    <w:rsid w:val="00030BA1"/>
    <w:rsid w:val="000E4D2D"/>
    <w:rsid w:val="001748A2"/>
    <w:rsid w:val="0021634D"/>
    <w:rsid w:val="0024359F"/>
    <w:rsid w:val="002F6253"/>
    <w:rsid w:val="0044452A"/>
    <w:rsid w:val="00494E17"/>
    <w:rsid w:val="005D2EBA"/>
    <w:rsid w:val="00650460"/>
    <w:rsid w:val="00655039"/>
    <w:rsid w:val="006A028D"/>
    <w:rsid w:val="006D4004"/>
    <w:rsid w:val="007F7C35"/>
    <w:rsid w:val="008564FE"/>
    <w:rsid w:val="008B470B"/>
    <w:rsid w:val="009263E4"/>
    <w:rsid w:val="00AA3B4E"/>
    <w:rsid w:val="00AC673A"/>
    <w:rsid w:val="00BA0DDA"/>
    <w:rsid w:val="00C05F04"/>
    <w:rsid w:val="00C24629"/>
    <w:rsid w:val="00C452CD"/>
    <w:rsid w:val="00C9471A"/>
    <w:rsid w:val="00CD1F85"/>
    <w:rsid w:val="00CF7480"/>
    <w:rsid w:val="00F72D21"/>
    <w:rsid w:val="00FD28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C1700-6E9D-4C08-B03E-D3A5A1AD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8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4D2D"/>
    <w:rPr>
      <w:color w:val="0563C1" w:themeColor="hyperlink"/>
      <w:u w:val="single"/>
    </w:rPr>
  </w:style>
  <w:style w:type="character" w:styleId="Hipervnculovisitado">
    <w:name w:val="FollowedHyperlink"/>
    <w:basedOn w:val="Fuentedeprrafopredeter"/>
    <w:uiPriority w:val="99"/>
    <w:semiHidden/>
    <w:unhideWhenUsed/>
    <w:rsid w:val="000E4D2D"/>
    <w:rPr>
      <w:color w:val="954F72" w:themeColor="followedHyperlink"/>
      <w:u w:val="single"/>
    </w:rPr>
  </w:style>
  <w:style w:type="paragraph" w:styleId="Encabezado">
    <w:name w:val="header"/>
    <w:basedOn w:val="Normal"/>
    <w:link w:val="EncabezadoCar"/>
    <w:uiPriority w:val="99"/>
    <w:unhideWhenUsed/>
    <w:rsid w:val="006550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5039"/>
  </w:style>
  <w:style w:type="paragraph" w:styleId="Piedepgina">
    <w:name w:val="footer"/>
    <w:basedOn w:val="Normal"/>
    <w:link w:val="PiedepginaCar"/>
    <w:uiPriority w:val="99"/>
    <w:unhideWhenUsed/>
    <w:rsid w:val="006550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039"/>
  </w:style>
  <w:style w:type="paragraph" w:styleId="Prrafodelista">
    <w:name w:val="List Paragraph"/>
    <w:basedOn w:val="Normal"/>
    <w:uiPriority w:val="34"/>
    <w:qFormat/>
    <w:rsid w:val="006A028D"/>
    <w:pPr>
      <w:ind w:left="720"/>
      <w:contextualSpacing/>
    </w:pPr>
  </w:style>
  <w:style w:type="paragraph" w:styleId="Citadestacada">
    <w:name w:val="Intense Quote"/>
    <w:basedOn w:val="Normal"/>
    <w:next w:val="Normal"/>
    <w:link w:val="CitadestacadaCar"/>
    <w:uiPriority w:val="30"/>
    <w:qFormat/>
    <w:rsid w:val="00F72D2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F72D2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8228">
      <w:bodyDiv w:val="1"/>
      <w:marLeft w:val="0"/>
      <w:marRight w:val="0"/>
      <w:marTop w:val="0"/>
      <w:marBottom w:val="0"/>
      <w:divBdr>
        <w:top w:val="none" w:sz="0" w:space="0" w:color="auto"/>
        <w:left w:val="none" w:sz="0" w:space="0" w:color="auto"/>
        <w:bottom w:val="none" w:sz="0" w:space="0" w:color="auto"/>
        <w:right w:val="none" w:sz="0" w:space="0" w:color="auto"/>
      </w:divBdr>
    </w:div>
    <w:div w:id="12320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org.mx/img/revistas/eq/v24n2/a9f1.jpg"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ielo.org.mx/img/revistas/eq/v24n2/a9f1.jpg" TargetMode="Externa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lo.org.mx/img/revistas/eq/v24n2/a9f1.jpg" TargetMode="External"/><Relationship Id="rId5" Type="http://schemas.openxmlformats.org/officeDocument/2006/relationships/footnotes" Target="footnotes.xml"/><Relationship Id="rId15" Type="http://schemas.openxmlformats.org/officeDocument/2006/relationships/hyperlink" Target="https://www.youtube.com/watch?v=djX_ktokHqI" TargetMode="External"/><Relationship Id="rId10" Type="http://schemas.openxmlformats.org/officeDocument/2006/relationships/hyperlink" Target="http://www.scielo.org.mx/img/revistas/eq/v24n2/a9f1.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lo.org.mx/img/revistas/eq/v24n2/a9f2.jpg"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1218</Words>
  <Characters>6705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felipe.cofreo</cp:lastModifiedBy>
  <cp:revision>5</cp:revision>
  <dcterms:created xsi:type="dcterms:W3CDTF">2020-05-18T15:12:00Z</dcterms:created>
  <dcterms:modified xsi:type="dcterms:W3CDTF">2020-05-18T15:25:00Z</dcterms:modified>
</cp:coreProperties>
</file>