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400C97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GESTION COMERCIAL Y TRIBUTARIA</w:t>
      </w:r>
    </w:p>
    <w:p w:rsidR="00400C97" w:rsidRPr="00400C97" w:rsidRDefault="00400C97" w:rsidP="0048338E">
      <w:pPr>
        <w:jc w:val="center"/>
        <w:rPr>
          <w:b/>
          <w:sz w:val="32"/>
          <w:szCs w:val="32"/>
        </w:rPr>
      </w:pPr>
      <w:r w:rsidRPr="00400C97">
        <w:rPr>
          <w:b/>
          <w:sz w:val="32"/>
          <w:szCs w:val="32"/>
        </w:rPr>
        <w:t>ETAPA 4 GUIAS DE TRABAJO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b/>
          <w:sz w:val="28"/>
          <w:szCs w:val="28"/>
          <w:u w:val="single"/>
        </w:rPr>
        <w:t>OBJETIVO</w:t>
      </w:r>
      <w:r w:rsidRPr="00400C97">
        <w:rPr>
          <w:b/>
          <w:sz w:val="28"/>
          <w:szCs w:val="28"/>
        </w:rPr>
        <w:t>:</w:t>
      </w:r>
      <w:r w:rsidRPr="00400C97">
        <w:rPr>
          <w:rFonts w:ascii="Berlin Sans FB" w:hAnsi="Berlin Sans FB"/>
          <w:lang w:val="es-CL"/>
        </w:rPr>
        <w:t xml:space="preserve"> </w:t>
      </w:r>
      <w:r w:rsidRPr="00400C97">
        <w:rPr>
          <w:rFonts w:ascii="Berlin Sans FB" w:hAnsi="Berlin Sans FB"/>
          <w:sz w:val="28"/>
          <w:szCs w:val="28"/>
          <w:lang w:val="es-CL"/>
        </w:rPr>
        <w:t xml:space="preserve">Leer y utilizar información básica acerca de la marcha de la empresa incluida información de sobre importaciones y exportaciones de acuerdo a las normas contables vigentes y de la información financiera y la legislación tributaria vigente.  </w:t>
      </w: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rFonts w:ascii="Berlin Sans FB" w:hAnsi="Berlin Sans FB"/>
          <w:sz w:val="28"/>
          <w:szCs w:val="28"/>
          <w:lang w:val="es-CL"/>
        </w:rPr>
        <w:t xml:space="preserve">Prefacio: Hemos ya conocido el concepto de </w:t>
      </w:r>
      <w:r w:rsidR="00C27900" w:rsidRPr="00400C97">
        <w:rPr>
          <w:rFonts w:ascii="Berlin Sans FB" w:hAnsi="Berlin Sans FB"/>
          <w:sz w:val="28"/>
          <w:szCs w:val="28"/>
          <w:lang w:val="es-CL"/>
        </w:rPr>
        <w:t>Economía</w:t>
      </w:r>
      <w:r w:rsidRPr="00400C97">
        <w:rPr>
          <w:rFonts w:ascii="Berlin Sans FB" w:hAnsi="Berlin Sans FB"/>
          <w:sz w:val="28"/>
          <w:szCs w:val="28"/>
          <w:lang w:val="es-CL"/>
        </w:rPr>
        <w:t>, nuestra economía en Chile así como los tipos de empresas para introducirnos a los distintos tipos de impuestos que rigen en nuestro país</w:t>
      </w:r>
      <w:proofErr w:type="gramStart"/>
      <w:r w:rsidRPr="00400C97">
        <w:rPr>
          <w:rFonts w:ascii="Berlin Sans FB" w:hAnsi="Berlin Sans FB"/>
          <w:sz w:val="28"/>
          <w:szCs w:val="28"/>
          <w:lang w:val="es-CL"/>
        </w:rPr>
        <w:t>..</w:t>
      </w:r>
      <w:proofErr w:type="gramEnd"/>
    </w:p>
    <w:p w:rsidR="00400C97" w:rsidRPr="00400C97" w:rsidRDefault="00400C97" w:rsidP="00400C97">
      <w:pPr>
        <w:ind w:left="720"/>
        <w:contextualSpacing/>
        <w:jc w:val="both"/>
        <w:rPr>
          <w:sz w:val="28"/>
          <w:szCs w:val="28"/>
        </w:rPr>
      </w:pPr>
    </w:p>
    <w:p w:rsidR="00C27900" w:rsidRDefault="00400C97" w:rsidP="00400C97">
      <w:pPr>
        <w:ind w:firstLine="720"/>
        <w:contextualSpacing/>
        <w:jc w:val="both"/>
        <w:rPr>
          <w:sz w:val="28"/>
          <w:szCs w:val="28"/>
        </w:rPr>
      </w:pPr>
      <w:r w:rsidRPr="00400C97">
        <w:rPr>
          <w:sz w:val="28"/>
          <w:szCs w:val="28"/>
        </w:rPr>
        <w:t xml:space="preserve">A continuación el siguiente material práctico teórico, </w:t>
      </w:r>
      <w:r w:rsidR="00C27900">
        <w:rPr>
          <w:sz w:val="28"/>
          <w:szCs w:val="28"/>
        </w:rPr>
        <w:t>tiene por objetivo la comprensión lectora de las noticias actualizadas de la economía en nuestro país.</w:t>
      </w:r>
    </w:p>
    <w:p w:rsidR="00C27900" w:rsidRDefault="00C27900" w:rsidP="00400C9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 solicita la lectura del material, su comprensión y contestar las siguientes preguntas.</w:t>
      </w:r>
    </w:p>
    <w:p w:rsidR="00BA7794" w:rsidRP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También sobre est</w:t>
      </w:r>
      <w:r w:rsidR="00C27900">
        <w:rPr>
          <w:sz w:val="28"/>
          <w:szCs w:val="28"/>
        </w:rPr>
        <w:t>a prensa actual</w:t>
      </w:r>
      <w:r w:rsidR="00B33B50">
        <w:rPr>
          <w:sz w:val="28"/>
          <w:szCs w:val="28"/>
        </w:rPr>
        <w:t>,</w:t>
      </w:r>
      <w:r>
        <w:rPr>
          <w:sz w:val="28"/>
          <w:szCs w:val="28"/>
        </w:rPr>
        <w:t xml:space="preserve"> existen distintos </w:t>
      </w:r>
      <w:r w:rsidRPr="00BA7794">
        <w:rPr>
          <w:b/>
          <w:i/>
          <w:sz w:val="28"/>
          <w:szCs w:val="28"/>
          <w:u w:val="single"/>
        </w:rPr>
        <w:t>vocablos subrayados</w:t>
      </w:r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 xml:space="preserve">nuevamente </w:t>
      </w:r>
      <w:r>
        <w:rPr>
          <w:sz w:val="28"/>
          <w:szCs w:val="28"/>
        </w:rPr>
        <w:t>deberá buscar y reforzar para buen entendimiento de los posteriores contenidos y otros módulos. Se sugiere establecerlo como un vocabulario técnico en la parte posterior de sus apuntes.</w:t>
      </w:r>
      <w:bookmarkStart w:id="0" w:name="_GoBack"/>
      <w:bookmarkEnd w:id="0"/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9A7BD8" w:rsidRDefault="009A7BD8" w:rsidP="009A7BD8">
      <w:pPr>
        <w:ind w:left="2410" w:hanging="2552"/>
        <w:jc w:val="both"/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0E614EBC" wp14:editId="46162FDA">
            <wp:extent cx="1200150" cy="1326925"/>
            <wp:effectExtent l="0" t="0" r="0" b="6985"/>
            <wp:docPr id="1" name="Imagen 1" descr="Indicadores coyunturale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adores coyunturales de 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56" cy="13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9A7BD8">
        <w:rPr>
          <w:b/>
          <w:sz w:val="28"/>
          <w:szCs w:val="28"/>
        </w:rPr>
        <w:t>La economía chilena sufre en marzo su mayor caída desde el estallido social por impacto del coronavirus</w:t>
      </w:r>
    </w:p>
    <w:p w:rsidR="009A7BD8" w:rsidRPr="006A7E06" w:rsidRDefault="006A7E06" w:rsidP="006A7E0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La economía chilena sufrió su mayor caída en 11 años durante el mes de marzo del presente año, debido a los efectos del coronavirus en la actividad. De acuerdo al Banco Central, el </w:t>
      </w:r>
      <w:r w:rsidRPr="00022338">
        <w:rPr>
          <w:rFonts w:ascii="Arial" w:hAnsi="Arial" w:cs="Arial"/>
          <w:iCs/>
          <w:sz w:val="24"/>
          <w:szCs w:val="24"/>
          <w:u w:val="single"/>
          <w:shd w:val="clear" w:color="auto" w:fill="FFFFFF" w:themeFill="background1"/>
        </w:rPr>
        <w:t>Indicador Mensual de la Actividad Económica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Imacec</w:t>
      </w:r>
      <w:proofErr w:type="spellEnd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) experimentó una </w:t>
      </w:r>
      <w:r w:rsidRPr="00022338">
        <w:rPr>
          <w:rFonts w:ascii="Arial" w:hAnsi="Arial" w:cs="Arial"/>
          <w:i/>
          <w:iCs/>
          <w:sz w:val="24"/>
          <w:szCs w:val="24"/>
          <w:u w:val="single"/>
          <w:shd w:val="clear" w:color="auto" w:fill="FFFFFF" w:themeFill="background1"/>
        </w:rPr>
        <w:t xml:space="preserve">contracción 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de 3,5% en marzo, el peor resultado desde noviembre 2019 pasado (-4%), en pleno estallido social. Se trata de una contracción mayor a la esperada por los expertos, quienes en promedio esperaban una caída en torno al 3%. Sin embargo, había algunos cálculos en torno a una baja de hasta 4%. Cabe recordar que en febrero el </w:t>
      </w:r>
      <w:proofErr w:type="spellStart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Imacec</w:t>
      </w:r>
      <w:proofErr w:type="spellEnd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marcó una variación de 2,7%. La serie </w:t>
      </w:r>
      <w:proofErr w:type="spellStart"/>
      <w:r w:rsidRPr="00022338">
        <w:rPr>
          <w:rFonts w:ascii="Arial" w:hAnsi="Arial" w:cs="Arial"/>
          <w:i/>
          <w:iCs/>
          <w:sz w:val="24"/>
          <w:szCs w:val="24"/>
          <w:shd w:val="clear" w:color="auto" w:fill="FFFFFF" w:themeFill="background1"/>
        </w:rPr>
        <w:t>desestacionalizada</w:t>
      </w:r>
      <w:proofErr w:type="spellEnd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disminuyó 5,7% respecto del mes </w:t>
      </w:r>
      <w:r w:rsidRPr="00022338">
        <w:rPr>
          <w:rFonts w:ascii="Arial" w:hAnsi="Arial" w:cs="Arial"/>
          <w:iCs/>
          <w:sz w:val="24"/>
          <w:szCs w:val="24"/>
          <w:u w:val="single"/>
          <w:shd w:val="clear" w:color="auto" w:fill="FFFFFF" w:themeFill="background1"/>
        </w:rPr>
        <w:t xml:space="preserve">precedente 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y 4,1% en doce meses. El mes registró un día hábil más que marzo de 2019. El instituto emisor precisó que el </w:t>
      </w:r>
      <w:proofErr w:type="spellStart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Imacec</w:t>
      </w:r>
      <w:proofErr w:type="spellEnd"/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minero creció 0,8%, mientras que el no minero cayó 4,0%. “Este último se vio afectado por las medidas</w:t>
      </w:r>
      <w:r w:rsidRPr="00022338">
        <w:rPr>
          <w:rFonts w:ascii="Arial" w:hAnsi="Arial" w:cs="Arial"/>
          <w:iCs/>
          <w:sz w:val="24"/>
          <w:szCs w:val="24"/>
          <w:shd w:val="clear" w:color="auto" w:fill="F0FFF0"/>
        </w:rPr>
        <w:t xml:space="preserve"> 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adoptadas para </w:t>
      </w:r>
      <w:r w:rsidRPr="00022338">
        <w:rPr>
          <w:rFonts w:ascii="Arial" w:hAnsi="Arial" w:cs="Arial"/>
          <w:i/>
          <w:iCs/>
          <w:sz w:val="24"/>
          <w:szCs w:val="24"/>
          <w:u w:val="single"/>
          <w:shd w:val="clear" w:color="auto" w:fill="FFFFFF" w:themeFill="background1"/>
        </w:rPr>
        <w:t>mitiga</w:t>
      </w:r>
      <w:r w:rsidRPr="00022338">
        <w:rPr>
          <w:rFonts w:ascii="Arial" w:hAnsi="Arial" w:cs="Arial"/>
          <w:iCs/>
          <w:sz w:val="24"/>
          <w:szCs w:val="24"/>
          <w:u w:val="single"/>
          <w:shd w:val="clear" w:color="auto" w:fill="FFFFFF" w:themeFill="background1"/>
        </w:rPr>
        <w:t>r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la propagación del COVID-19. En este contexto, las actividades más afectadas fueron los servicios y el comercio”, dijo el </w:t>
      </w:r>
      <w:r w:rsidRPr="00022338">
        <w:rPr>
          <w:rFonts w:ascii="Arial" w:hAnsi="Arial" w:cs="Arial"/>
          <w:i/>
          <w:iCs/>
          <w:sz w:val="24"/>
          <w:szCs w:val="24"/>
          <w:u w:val="single"/>
          <w:shd w:val="clear" w:color="auto" w:fill="FFFFFF" w:themeFill="background1"/>
        </w:rPr>
        <w:t>Banco Central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. En los servicios, destacaron las caídas de educación, transporte y restaurantes y hoteles. Cifra podría experimentar mayores revisiones Con todo, la entidad</w:t>
      </w:r>
      <w:r w:rsidR="00400C97"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(Banco Central)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dirigida por Mario Marcel dijo que, "considerando los </w:t>
      </w:r>
      <w:r w:rsidRPr="00022338">
        <w:rPr>
          <w:rFonts w:ascii="Arial" w:hAnsi="Arial" w:cs="Arial"/>
          <w:i/>
          <w:iCs/>
          <w:sz w:val="24"/>
          <w:szCs w:val="24"/>
          <w:u w:val="single"/>
          <w:shd w:val="clear" w:color="auto" w:fill="FFFFFF" w:themeFill="background1"/>
        </w:rPr>
        <w:t>desafíos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que la crisis sanitaria ha impuesto sobre la recolección de datos básicos”, hizo esfuerzos adicionales con sus proveedores de información para minimizar el impacto en la calidad de las </w:t>
      </w:r>
      <w:r w:rsidRPr="00022338">
        <w:rPr>
          <w:rFonts w:ascii="Arial" w:hAnsi="Arial" w:cs="Arial"/>
          <w:iCs/>
          <w:sz w:val="24"/>
          <w:szCs w:val="24"/>
          <w:u w:val="single"/>
          <w:shd w:val="clear" w:color="auto" w:fill="FFFFFF" w:themeFill="background1"/>
        </w:rPr>
        <w:t>estadísticas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. Y en esa línea, advirtió que las cifras entregadas en esta oportunidad podrían estar sujetas a mayores revisiones que las registradas históricamente, "las cuales serán difundidas de acuerdo al calendario de publicaciones y revisiones de </w:t>
      </w:r>
      <w:r w:rsidRPr="00022338">
        <w:rPr>
          <w:rFonts w:ascii="Arial" w:hAnsi="Arial" w:cs="Arial"/>
          <w:i/>
          <w:iCs/>
          <w:sz w:val="24"/>
          <w:szCs w:val="24"/>
          <w:u w:val="single"/>
          <w:shd w:val="clear" w:color="auto" w:fill="FFFFFF" w:themeFill="background1"/>
        </w:rPr>
        <w:t>Cuentas Nacionales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disponible en la</w:t>
      </w:r>
      <w:r w:rsidRPr="00022338">
        <w:rPr>
          <w:rFonts w:ascii="Arial" w:hAnsi="Arial" w:cs="Arial"/>
          <w:iCs/>
          <w:sz w:val="24"/>
          <w:szCs w:val="24"/>
          <w:shd w:val="clear" w:color="auto" w:fill="F0FFF0"/>
        </w:rPr>
        <w:t xml:space="preserve"> </w:t>
      </w:r>
      <w:r w:rsidRPr="00022338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página web institucional”.</w:t>
      </w:r>
    </w:p>
    <w:p w:rsidR="009A7BD8" w:rsidRDefault="006A7E06" w:rsidP="006A7E06">
      <w:pPr>
        <w:shd w:val="clear" w:color="auto" w:fill="FFFFFF" w:themeFill="background1"/>
        <w:jc w:val="right"/>
        <w:rPr>
          <w:b/>
          <w:sz w:val="28"/>
          <w:szCs w:val="28"/>
        </w:rPr>
      </w:pPr>
      <w:r w:rsidRPr="006A7E06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Fuente: </w:t>
      </w:r>
      <w:hyperlink r:id="rId9" w:tgtFrame="_blank" w:history="1">
        <w:r w:rsidRPr="006A7E06">
          <w:rPr>
            <w:rFonts w:ascii="Arial" w:hAnsi="Arial" w:cs="Arial"/>
            <w:b/>
            <w:bCs/>
            <w:i/>
            <w:iCs/>
            <w:color w:val="1B242F"/>
            <w:sz w:val="21"/>
            <w:szCs w:val="21"/>
          </w:rPr>
          <w:t>La Tercera (Chile)</w:t>
        </w:r>
      </w:hyperlink>
    </w:p>
    <w:p w:rsidR="009A7BD8" w:rsidRDefault="009A7BD8" w:rsidP="004C3899">
      <w:pPr>
        <w:jc w:val="both"/>
        <w:rPr>
          <w:b/>
          <w:sz w:val="28"/>
          <w:szCs w:val="28"/>
        </w:rPr>
      </w:pPr>
    </w:p>
    <w:p w:rsidR="009A7BD8" w:rsidRDefault="00C27900" w:rsidP="004C3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Conteste las siguientes preguntas:</w:t>
      </w:r>
    </w:p>
    <w:p w:rsidR="00C27900" w:rsidRDefault="00C27900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Como fue el comportamiento del IMACEC (Indicador Mensual de la Actividad Económica) entre noviembre de 2019 a la fecha.</w:t>
      </w:r>
    </w:p>
    <w:p w:rsidR="00C27900" w:rsidRDefault="00C27900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Cuáles fueron las actividades económicas más afectadas con la crisis sanitaria</w:t>
      </w:r>
      <w:r w:rsidR="009C6D87">
        <w:rPr>
          <w:b/>
          <w:sz w:val="28"/>
          <w:szCs w:val="28"/>
        </w:rPr>
        <w:t>.</w:t>
      </w:r>
    </w:p>
    <w:p w:rsidR="00732DB7" w:rsidRPr="008C3A51" w:rsidRDefault="009C6D87" w:rsidP="008C3A51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Concluya de manera técnica y de su opinión del texto entregado.</w:t>
      </w:r>
    </w:p>
    <w:sectPr w:rsidR="00732DB7" w:rsidRPr="008C3A51" w:rsidSect="00A855B1">
      <w:headerReference w:type="default" r:id="rId10"/>
      <w:footerReference w:type="default" r:id="rId11"/>
      <w:pgSz w:w="12240" w:h="15840"/>
      <w:pgMar w:top="993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17" w:rsidRDefault="00D60C17" w:rsidP="00FD0752">
      <w:pPr>
        <w:spacing w:after="0" w:line="240" w:lineRule="auto"/>
      </w:pPr>
      <w:r>
        <w:separator/>
      </w:r>
    </w:p>
  </w:endnote>
  <w:endnote w:type="continuationSeparator" w:id="0">
    <w:p w:rsidR="00D60C17" w:rsidRDefault="00D60C17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17" w:rsidRDefault="00D60C17" w:rsidP="00FD0752">
      <w:pPr>
        <w:spacing w:after="0" w:line="240" w:lineRule="auto"/>
      </w:pPr>
      <w:r>
        <w:separator/>
      </w:r>
    </w:p>
  </w:footnote>
  <w:footnote w:type="continuationSeparator" w:id="0">
    <w:p w:rsidR="00D60C17" w:rsidRDefault="00D60C17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4" name="Imagen 1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D369F"/>
    <w:multiLevelType w:val="hybridMultilevel"/>
    <w:tmpl w:val="7332D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22338"/>
    <w:rsid w:val="000B798D"/>
    <w:rsid w:val="000F25D3"/>
    <w:rsid w:val="001026BA"/>
    <w:rsid w:val="00131404"/>
    <w:rsid w:val="00150684"/>
    <w:rsid w:val="00232E0E"/>
    <w:rsid w:val="0024336D"/>
    <w:rsid w:val="00244972"/>
    <w:rsid w:val="002470FF"/>
    <w:rsid w:val="00321475"/>
    <w:rsid w:val="00400C97"/>
    <w:rsid w:val="004069B6"/>
    <w:rsid w:val="00451198"/>
    <w:rsid w:val="004716B9"/>
    <w:rsid w:val="0047345A"/>
    <w:rsid w:val="0048338E"/>
    <w:rsid w:val="004C3899"/>
    <w:rsid w:val="00605CAE"/>
    <w:rsid w:val="006164F5"/>
    <w:rsid w:val="00616E3F"/>
    <w:rsid w:val="00622D8D"/>
    <w:rsid w:val="006250BE"/>
    <w:rsid w:val="00625AB5"/>
    <w:rsid w:val="006406F7"/>
    <w:rsid w:val="006925B6"/>
    <w:rsid w:val="006A7E06"/>
    <w:rsid w:val="006E37F5"/>
    <w:rsid w:val="006F4310"/>
    <w:rsid w:val="00732DB7"/>
    <w:rsid w:val="007917CF"/>
    <w:rsid w:val="007B535E"/>
    <w:rsid w:val="007F31BF"/>
    <w:rsid w:val="00826E44"/>
    <w:rsid w:val="008B3293"/>
    <w:rsid w:val="008C3A51"/>
    <w:rsid w:val="009752C2"/>
    <w:rsid w:val="009A7BD8"/>
    <w:rsid w:val="009C3107"/>
    <w:rsid w:val="009C6D87"/>
    <w:rsid w:val="00A37E85"/>
    <w:rsid w:val="00A80628"/>
    <w:rsid w:val="00A855B1"/>
    <w:rsid w:val="00AB689F"/>
    <w:rsid w:val="00B33B50"/>
    <w:rsid w:val="00B629E0"/>
    <w:rsid w:val="00BA7794"/>
    <w:rsid w:val="00BF6E74"/>
    <w:rsid w:val="00C00EE7"/>
    <w:rsid w:val="00C27900"/>
    <w:rsid w:val="00C47546"/>
    <w:rsid w:val="00CA12AE"/>
    <w:rsid w:val="00CA187B"/>
    <w:rsid w:val="00CC7230"/>
    <w:rsid w:val="00CD4107"/>
    <w:rsid w:val="00CD79D8"/>
    <w:rsid w:val="00D60C17"/>
    <w:rsid w:val="00D97B31"/>
    <w:rsid w:val="00DF1E8C"/>
    <w:rsid w:val="00E37BA9"/>
    <w:rsid w:val="00E855E4"/>
    <w:rsid w:val="00ED5F00"/>
    <w:rsid w:val="00EE1C65"/>
    <w:rsid w:val="00F56874"/>
    <w:rsid w:val="00F671AA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tercer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5A0B8F"/>
    <w:rsid w:val="00746677"/>
    <w:rsid w:val="009639EA"/>
    <w:rsid w:val="00A12987"/>
    <w:rsid w:val="00C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CF71-7BFD-4AB7-B728-34E59D6C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2020-05-06T01:15:00Z</dcterms:created>
  <dcterms:modified xsi:type="dcterms:W3CDTF">2020-05-06T01:15:00Z</dcterms:modified>
</cp:coreProperties>
</file>